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A6" w:rsidRPr="006A1FA6" w:rsidRDefault="000E2D8F" w:rsidP="006A1FA6">
      <w:pPr>
        <w:pStyle w:val="Heading1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184D11">
        <w:rPr>
          <w:rFonts w:ascii="Calibri" w:hAnsi="Calibri" w:cs="Calibri"/>
          <w:sz w:val="32"/>
          <w:szCs w:val="32"/>
        </w:rPr>
        <w:t>Project Board Meeting 1</w:t>
      </w:r>
      <w:r w:rsidR="00261943">
        <w:rPr>
          <w:rFonts w:ascii="Calibri" w:hAnsi="Calibri" w:cs="Calibri"/>
          <w:sz w:val="32"/>
          <w:szCs w:val="32"/>
        </w:rPr>
        <w:t>1</w:t>
      </w:r>
    </w:p>
    <w:p w:rsidR="006A1FA6" w:rsidRPr="0053155C" w:rsidRDefault="00C27EB0" w:rsidP="006A1FA6">
      <w:pPr>
        <w:spacing w:line="240" w:lineRule="auto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Wednesday 19</w:t>
      </w:r>
      <w:r w:rsidRPr="00624208"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September 2018</w:t>
      </w:r>
      <w:r w:rsidR="006A1FA6">
        <w:rPr>
          <w:rFonts w:cs="Calibri"/>
          <w:b/>
          <w:sz w:val="24"/>
          <w:szCs w:val="24"/>
        </w:rPr>
        <w:t xml:space="preserve">, </w:t>
      </w:r>
      <w:r w:rsidR="00184D11">
        <w:rPr>
          <w:rFonts w:cs="Calibri"/>
          <w:b/>
          <w:sz w:val="24"/>
          <w:szCs w:val="24"/>
        </w:rPr>
        <w:t>14:00-16:00pm</w:t>
      </w:r>
    </w:p>
    <w:p w:rsidR="006A1FA6" w:rsidRDefault="00C27EB0" w:rsidP="006A1FA6">
      <w:pPr>
        <w:spacing w:line="240" w:lineRule="auto"/>
        <w:contextualSpacing/>
        <w:jc w:val="center"/>
        <w:rPr>
          <w:rFonts w:cs="Calibri"/>
          <w:b/>
          <w:sz w:val="24"/>
          <w:szCs w:val="24"/>
        </w:rPr>
      </w:pPr>
      <w:proofErr w:type="gramStart"/>
      <w:r>
        <w:rPr>
          <w:rFonts w:cs="Calibri"/>
          <w:b/>
          <w:sz w:val="24"/>
          <w:szCs w:val="24"/>
        </w:rPr>
        <w:t>8th</w:t>
      </w:r>
      <w:proofErr w:type="gramEnd"/>
      <w:r>
        <w:rPr>
          <w:rFonts w:cs="Calibri"/>
          <w:b/>
          <w:sz w:val="24"/>
          <w:szCs w:val="24"/>
        </w:rPr>
        <w:t xml:space="preserve"> Floor Meeting Room</w:t>
      </w:r>
      <w:r w:rsidR="00184D11">
        <w:rPr>
          <w:rFonts w:cs="Calibri"/>
          <w:b/>
          <w:sz w:val="24"/>
          <w:szCs w:val="24"/>
        </w:rPr>
        <w:t xml:space="preserve"> at</w:t>
      </w:r>
      <w:r w:rsidR="006A1FA6" w:rsidRPr="0053155C">
        <w:rPr>
          <w:rFonts w:cs="Calibri"/>
          <w:b/>
          <w:sz w:val="24"/>
          <w:szCs w:val="24"/>
        </w:rPr>
        <w:t xml:space="preserve"> the Royal College of Anaesthetists</w:t>
      </w:r>
    </w:p>
    <w:p w:rsidR="006A1FA6" w:rsidRPr="00FE56A5" w:rsidRDefault="006A1FA6" w:rsidP="00983B19">
      <w:pPr>
        <w:spacing w:after="0" w:line="240" w:lineRule="auto"/>
        <w:rPr>
          <w:b/>
          <w:sz w:val="10"/>
          <w:szCs w:val="10"/>
        </w:rPr>
      </w:pPr>
    </w:p>
    <w:p w:rsidR="004B19EF" w:rsidRPr="00983B19" w:rsidRDefault="00983B19" w:rsidP="00983B19">
      <w:pPr>
        <w:spacing w:after="0" w:line="240" w:lineRule="auto"/>
      </w:pPr>
      <w:r>
        <w:rPr>
          <w:b/>
        </w:rPr>
        <w:t>Members</w:t>
      </w:r>
      <w:r w:rsidR="009F1F37" w:rsidRPr="0053155C">
        <w:rPr>
          <w:b/>
        </w:rPr>
        <w:t>:</w:t>
      </w:r>
      <w:r w:rsidR="009F1F37" w:rsidRPr="0053155C">
        <w:rPr>
          <w:b/>
        </w:rPr>
        <w:tab/>
      </w:r>
      <w:r w:rsidR="009F1F37" w:rsidRPr="0053155C">
        <w:t xml:space="preserve">  </w:t>
      </w:r>
      <w:r w:rsidR="009F1F37" w:rsidRPr="0053155C">
        <w:rPr>
          <w:b/>
        </w:rPr>
        <w:t xml:space="preserve">  </w:t>
      </w:r>
      <w:r w:rsidR="009F1F37" w:rsidRPr="0053155C">
        <w:tab/>
      </w:r>
      <w:r w:rsidR="009F1F37" w:rsidRPr="0053155C">
        <w:tab/>
        <w:t xml:space="preserve">  </w:t>
      </w:r>
    </w:p>
    <w:p w:rsidR="00983B19" w:rsidRDefault="00897B95" w:rsidP="00897B9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Dr Paul Clyburn</w:t>
      </w:r>
      <w:r>
        <w:rPr>
          <w:rFonts w:asciiTheme="minorHAnsi" w:eastAsiaTheme="minorHAnsi" w:hAnsiTheme="minorHAnsi" w:cstheme="minorBidi"/>
        </w:rPr>
        <w:tab/>
      </w:r>
      <w:r w:rsidR="00983B19">
        <w:rPr>
          <w:rFonts w:asciiTheme="minorHAnsi" w:eastAsiaTheme="minorHAnsi" w:hAnsiTheme="minorHAnsi" w:cstheme="minorBidi"/>
        </w:rPr>
        <w:tab/>
      </w:r>
      <w:r w:rsidR="00983B19"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 xml:space="preserve">Project Board </w:t>
      </w:r>
      <w:r w:rsidRPr="005571FA">
        <w:rPr>
          <w:rFonts w:asciiTheme="minorHAnsi" w:eastAsiaTheme="minorHAnsi" w:hAnsiTheme="minorHAnsi" w:cstheme="minorBidi"/>
        </w:rPr>
        <w:t>Chair</w:t>
      </w:r>
      <w:r>
        <w:rPr>
          <w:rFonts w:asciiTheme="minorHAnsi" w:eastAsiaTheme="minorHAnsi" w:hAnsiTheme="minorHAnsi" w:cstheme="minorBidi"/>
        </w:rPr>
        <w:t>, AAGBI</w:t>
      </w:r>
    </w:p>
    <w:p w:rsidR="005B024D" w:rsidRDefault="005B024D" w:rsidP="005B024D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Ms </w:t>
      </w:r>
      <w:proofErr w:type="spellStart"/>
      <w:r>
        <w:rPr>
          <w:rFonts w:asciiTheme="minorHAnsi" w:eastAsiaTheme="minorHAnsi" w:hAnsiTheme="minorHAnsi" w:cstheme="minorBidi"/>
        </w:rPr>
        <w:t>Tasneem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Hoosain</w:t>
      </w:r>
      <w:proofErr w:type="spellEnd"/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HQIP</w:t>
      </w:r>
    </w:p>
    <w:p w:rsidR="00C27EB0" w:rsidRDefault="00C27EB0" w:rsidP="00C27EB0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Prof David Cromwell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Project Team Methodologist/RCS </w:t>
      </w:r>
    </w:p>
    <w:p w:rsidR="005B024D" w:rsidRDefault="005B024D" w:rsidP="005B024D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Ms Lynn Smith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Patient Representative</w:t>
      </w:r>
    </w:p>
    <w:p w:rsidR="005B024D" w:rsidRDefault="005B024D" w:rsidP="005B024D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Dr Dave Murray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Project Team Chair </w:t>
      </w:r>
    </w:p>
    <w:p w:rsidR="005B024D" w:rsidRDefault="005B024D" w:rsidP="005B024D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Dr Sarah Hare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National Clinical Lead</w:t>
      </w:r>
    </w:p>
    <w:p w:rsidR="00CC243C" w:rsidRDefault="00CC243C" w:rsidP="00A42962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Mr</w:t>
      </w:r>
      <w:r w:rsidR="00184206">
        <w:rPr>
          <w:rFonts w:asciiTheme="minorHAnsi" w:eastAsiaTheme="minorHAnsi" w:hAnsiTheme="minorHAnsi" w:cstheme="minorBidi"/>
        </w:rPr>
        <w:t xml:space="preserve"> James Goodwin</w:t>
      </w:r>
      <w:r w:rsidR="00184206">
        <w:rPr>
          <w:rFonts w:asciiTheme="minorHAnsi" w:eastAsiaTheme="minorHAnsi" w:hAnsiTheme="minorHAnsi" w:cstheme="minorBidi"/>
        </w:rPr>
        <w:tab/>
      </w:r>
      <w:r w:rsidR="00184206">
        <w:rPr>
          <w:rFonts w:asciiTheme="minorHAnsi" w:eastAsiaTheme="minorHAnsi" w:hAnsiTheme="minorHAnsi" w:cstheme="minorBidi"/>
        </w:rPr>
        <w:tab/>
        <w:t>Head of Research, RCoA</w:t>
      </w:r>
    </w:p>
    <w:p w:rsidR="00CC243C" w:rsidRDefault="00CC243C" w:rsidP="00CC243C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Mr Jose Lourtie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184206">
        <w:rPr>
          <w:rFonts w:asciiTheme="minorHAnsi" w:eastAsiaTheme="minorHAnsi" w:hAnsiTheme="minorHAnsi" w:cstheme="minorBidi"/>
        </w:rPr>
        <w:t>NELA Project Manager</w:t>
      </w:r>
    </w:p>
    <w:p w:rsidR="00A60A69" w:rsidRDefault="00A60A69" w:rsidP="00A42962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Trevor Corrithers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Audit and Research Team Administrator</w:t>
      </w:r>
    </w:p>
    <w:p w:rsidR="00A60A69" w:rsidRPr="003C1FE1" w:rsidRDefault="00045BC9" w:rsidP="00A42962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Cristal Santos</w:t>
      </w:r>
      <w:r w:rsidR="00A60A69">
        <w:rPr>
          <w:rFonts w:asciiTheme="minorHAnsi" w:eastAsiaTheme="minorHAnsi" w:hAnsiTheme="minorHAnsi" w:cstheme="minorBidi"/>
        </w:rPr>
        <w:tab/>
      </w:r>
      <w:r w:rsidR="00A60A69">
        <w:rPr>
          <w:rFonts w:asciiTheme="minorHAnsi" w:eastAsiaTheme="minorHAnsi" w:hAnsiTheme="minorHAnsi" w:cstheme="minorBidi"/>
        </w:rPr>
        <w:tab/>
      </w:r>
      <w:r w:rsidR="00A60A69">
        <w:rPr>
          <w:rFonts w:asciiTheme="minorHAnsi" w:eastAsiaTheme="minorHAnsi" w:hAnsiTheme="minorHAnsi" w:cstheme="minorBidi"/>
        </w:rPr>
        <w:tab/>
        <w:t xml:space="preserve">NELA Data Analysis </w:t>
      </w:r>
    </w:p>
    <w:p w:rsidR="00983B19" w:rsidRPr="00FE56A5" w:rsidRDefault="00983B19" w:rsidP="00663B37">
      <w:pPr>
        <w:spacing w:after="0" w:line="240" w:lineRule="auto"/>
        <w:rPr>
          <w:rFonts w:asciiTheme="minorHAnsi" w:eastAsiaTheme="minorHAnsi" w:hAnsiTheme="minorHAnsi" w:cstheme="minorBidi"/>
          <w:sz w:val="10"/>
          <w:szCs w:val="10"/>
        </w:rPr>
      </w:pPr>
    </w:p>
    <w:p w:rsidR="005571FA" w:rsidRPr="00FE56A5" w:rsidRDefault="005571FA" w:rsidP="00663B37">
      <w:pPr>
        <w:spacing w:after="0" w:line="240" w:lineRule="auto"/>
        <w:rPr>
          <w:rFonts w:asciiTheme="minorHAnsi" w:eastAsiaTheme="minorHAnsi" w:hAnsiTheme="minorHAnsi" w:cstheme="minorBidi"/>
          <w:sz w:val="10"/>
          <w:szCs w:val="10"/>
        </w:rPr>
      </w:pPr>
    </w:p>
    <w:p w:rsidR="00983B19" w:rsidRDefault="00983B19" w:rsidP="00663B37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 w:rsidRPr="00983B19">
        <w:rPr>
          <w:rFonts w:asciiTheme="minorHAnsi" w:eastAsiaTheme="minorHAnsi" w:hAnsiTheme="minorHAnsi" w:cstheme="minorBidi"/>
          <w:b/>
        </w:rPr>
        <w:t>Apologies:</w:t>
      </w:r>
    </w:p>
    <w:p w:rsidR="00183EF4" w:rsidRDefault="00183EF4" w:rsidP="00183EF4">
      <w:pPr>
        <w:spacing w:after="0" w:line="240" w:lineRule="auto"/>
        <w:rPr>
          <w:rFonts w:asciiTheme="minorHAnsi" w:eastAsiaTheme="minorHAnsi" w:hAnsiTheme="minorHAnsi" w:cstheme="minorBidi"/>
        </w:rPr>
      </w:pPr>
      <w:r w:rsidRPr="00CC082A">
        <w:rPr>
          <w:rFonts w:asciiTheme="minorHAnsi" w:eastAsiaTheme="minorHAnsi" w:hAnsiTheme="minorHAnsi" w:cstheme="minorBidi"/>
        </w:rPr>
        <w:t xml:space="preserve">Dr </w:t>
      </w:r>
      <w:r>
        <w:rPr>
          <w:rFonts w:asciiTheme="minorHAnsi" w:eastAsiaTheme="minorHAnsi" w:hAnsiTheme="minorHAnsi" w:cstheme="minorBidi"/>
        </w:rPr>
        <w:t>William Harrop-Griffiths</w:t>
      </w:r>
      <w:r>
        <w:rPr>
          <w:rFonts w:asciiTheme="minorHAnsi" w:eastAsiaTheme="minorHAnsi" w:hAnsiTheme="minorHAnsi" w:cstheme="minorBidi"/>
        </w:rPr>
        <w:tab/>
      </w:r>
      <w:r w:rsidRPr="00CC082A">
        <w:rPr>
          <w:rFonts w:asciiTheme="minorHAnsi" w:eastAsiaTheme="minorHAnsi" w:hAnsiTheme="minorHAnsi" w:cstheme="minorBidi"/>
        </w:rPr>
        <w:t>RCoA</w:t>
      </w:r>
    </w:p>
    <w:p w:rsidR="007949E7" w:rsidRPr="00983B19" w:rsidRDefault="007949E7" w:rsidP="007949E7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>Dr Gillian Tierney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ASGBI</w:t>
      </w:r>
    </w:p>
    <w:p w:rsidR="00536C82" w:rsidRDefault="00536C82" w:rsidP="00536C82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Dr Yvonne </w:t>
      </w:r>
      <w:proofErr w:type="spellStart"/>
      <w:r>
        <w:rPr>
          <w:rFonts w:asciiTheme="minorHAnsi" w:eastAsiaTheme="minorHAnsi" w:hAnsiTheme="minorHAnsi" w:cstheme="minorBidi"/>
        </w:rPr>
        <w:t>Silove</w:t>
      </w:r>
      <w:proofErr w:type="spellEnd"/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HQIP</w:t>
      </w:r>
    </w:p>
    <w:p w:rsidR="00C27EB0" w:rsidRDefault="00C27EB0" w:rsidP="00C27EB0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Ms Sharon Drake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Director of Clinical Quality and Research, RCoA</w:t>
      </w:r>
    </w:p>
    <w:p w:rsidR="00C27EB0" w:rsidRDefault="00C27EB0" w:rsidP="00C27EB0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Mr John </w:t>
      </w:r>
      <w:r>
        <w:t>Abercrombie</w:t>
      </w:r>
      <w:r>
        <w:tab/>
      </w:r>
      <w:r>
        <w:tab/>
        <w:t>Royal College of Surgeons-On the Phone</w:t>
      </w:r>
    </w:p>
    <w:p w:rsidR="00CC243C" w:rsidRPr="00FE56A5" w:rsidRDefault="00CC243C" w:rsidP="00CC243C">
      <w:pPr>
        <w:spacing w:after="0" w:line="240" w:lineRule="auto"/>
        <w:rPr>
          <w:rFonts w:asciiTheme="minorHAnsi" w:eastAsiaTheme="minorHAnsi" w:hAnsiTheme="minorHAnsi" w:cstheme="minorBidi"/>
          <w:b/>
          <w:sz w:val="10"/>
          <w:szCs w:val="10"/>
        </w:rPr>
      </w:pPr>
    </w:p>
    <w:p w:rsidR="00CC243C" w:rsidRPr="00CC243C" w:rsidRDefault="00CC243C" w:rsidP="008F389E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4739"/>
      </w:tblGrid>
      <w:tr w:rsidR="00912CCE">
        <w:trPr>
          <w:jc w:val="center"/>
        </w:trPr>
        <w:tc>
          <w:tcPr>
            <w:tcW w:w="3323" w:type="dxa"/>
          </w:tcPr>
          <w:p w:rsidR="00912CCE" w:rsidRPr="00FE56A5" w:rsidRDefault="00912CCE">
            <w:pPr>
              <w:spacing w:after="0" w:line="240" w:lineRule="auto"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  <w:tc>
          <w:tcPr>
            <w:tcW w:w="4739" w:type="dxa"/>
          </w:tcPr>
          <w:p w:rsidR="00912CCE" w:rsidRDefault="00912CCE">
            <w:pPr>
              <w:spacing w:after="0" w:line="240" w:lineRule="auto"/>
              <w:ind w:left="587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8F389E" w:rsidRDefault="007A3D23" w:rsidP="007A3D23">
      <w:pPr>
        <w:spacing w:after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NELA PB/ </w:t>
      </w:r>
      <w:r w:rsidR="0034311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09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/ 1 </w:t>
      </w:r>
      <w:r w:rsidR="00CD77A1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Introductions and apologies</w:t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ab/>
      </w:r>
    </w:p>
    <w:p w:rsidR="00291FEB" w:rsidRDefault="008F389E" w:rsidP="00291FEB">
      <w:pPr>
        <w:spacing w:after="0" w:line="240" w:lineRule="auto"/>
        <w:rPr>
          <w:rFonts w:ascii="Century Gothic" w:eastAsia="Times New Roman" w:hAnsi="Century Gothic" w:cs="Helvetica"/>
          <w:color w:val="000000"/>
          <w:sz w:val="20"/>
          <w:szCs w:val="20"/>
          <w:lang w:eastAsia="en-GB"/>
        </w:rPr>
      </w:pPr>
      <w:r w:rsidRPr="00291FEB">
        <w:t>Introductions </w:t>
      </w:r>
      <w:proofErr w:type="gramStart"/>
      <w:r w:rsidRPr="00291FEB">
        <w:t>were made</w:t>
      </w:r>
      <w:proofErr w:type="gramEnd"/>
      <w:r w:rsidRPr="00291FEB">
        <w:t> around the table and apologies as noted above.</w:t>
      </w:r>
      <w:r w:rsidRPr="009F6982">
        <w:rPr>
          <w:rFonts w:ascii="Century Gothic" w:eastAsia="Times New Roman" w:hAnsi="Century Gothic" w:cs="Helvetica"/>
          <w:color w:val="000000"/>
          <w:sz w:val="20"/>
          <w:szCs w:val="20"/>
          <w:lang w:eastAsia="en-GB"/>
        </w:rPr>
        <w:t>    </w:t>
      </w:r>
    </w:p>
    <w:p w:rsidR="009901D5" w:rsidRPr="008F389E" w:rsidRDefault="008F389E" w:rsidP="00291FEB">
      <w:pPr>
        <w:spacing w:after="0" w:line="240" w:lineRule="auto"/>
      </w:pPr>
      <w:r w:rsidRPr="009F6982">
        <w:rPr>
          <w:rFonts w:ascii="Century Gothic" w:eastAsia="Times New Roman" w:hAnsi="Century Gothic" w:cs="Helvetica"/>
          <w:color w:val="000000"/>
          <w:sz w:val="20"/>
          <w:szCs w:val="20"/>
          <w:lang w:eastAsia="en-GB"/>
        </w:rPr>
        <w:t>      </w:t>
      </w:r>
      <w:r w:rsidR="009F1F37">
        <w:tab/>
      </w:r>
    </w:p>
    <w:p w:rsidR="008F389E" w:rsidRDefault="007A3D23" w:rsidP="007A3D23">
      <w:pPr>
        <w:spacing w:after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NELA PB/ </w:t>
      </w:r>
      <w:r w:rsidR="0034311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09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/ 2 </w:t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Declaration of interests</w:t>
      </w:r>
    </w:p>
    <w:p w:rsidR="009901D5" w:rsidRPr="00282DA7" w:rsidRDefault="008F389E" w:rsidP="00291FE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291FEB">
        <w:t>There were no conflicts of interests declared.</w:t>
      </w:r>
      <w:r w:rsidRPr="009F6982">
        <w:rPr>
          <w:rFonts w:ascii="Century Gothic" w:eastAsia="Times New Roman" w:hAnsi="Century Gothic" w:cs="Helvetica"/>
          <w:color w:val="000000"/>
          <w:sz w:val="20"/>
          <w:szCs w:val="20"/>
          <w:lang w:eastAsia="en-GB"/>
        </w:rPr>
        <w:t>                                             </w:t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ab/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ab/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ab/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ab/>
      </w:r>
    </w:p>
    <w:p w:rsidR="009901D5" w:rsidRDefault="007A3D23" w:rsidP="007A3D23">
      <w:pPr>
        <w:spacing w:after="0"/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NELA PB/ </w:t>
      </w:r>
      <w:r w:rsidR="0034311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09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/ 3 </w:t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Minutes of previous meeting</w:t>
      </w:r>
      <w:r w:rsidR="009F1F37" w:rsidRPr="007A3D23">
        <w:rPr>
          <w:b/>
        </w:rPr>
        <w:tab/>
      </w:r>
      <w:r w:rsidR="009F1F37">
        <w:tab/>
      </w:r>
      <w:r w:rsidR="009F1F37">
        <w:tab/>
      </w:r>
      <w:r w:rsidR="009F1F37">
        <w:tab/>
      </w:r>
      <w:r w:rsidR="009F1F37">
        <w:tab/>
      </w:r>
      <w:r w:rsidR="009F1F37">
        <w:tab/>
      </w:r>
    </w:p>
    <w:p w:rsidR="008F389E" w:rsidRDefault="008F389E" w:rsidP="008F389E">
      <w:pPr>
        <w:spacing w:after="0" w:line="240" w:lineRule="auto"/>
      </w:pPr>
      <w:r w:rsidRPr="00291FEB">
        <w:t>The minutes of the p</w:t>
      </w:r>
      <w:r w:rsidR="008C7960">
        <w:t>revious meeting held on 22/02/18</w:t>
      </w:r>
      <w:r w:rsidRPr="00291FEB">
        <w:t xml:space="preserve"> accepted with no amendments.</w:t>
      </w:r>
    </w:p>
    <w:p w:rsidR="00C27EB0" w:rsidRDefault="00C27EB0" w:rsidP="008F389E">
      <w:pPr>
        <w:spacing w:after="0" w:line="240" w:lineRule="auto"/>
      </w:pPr>
      <w:r>
        <w:t>Actions discussed:</w:t>
      </w:r>
    </w:p>
    <w:p w:rsidR="00C27EB0" w:rsidRPr="00291FEB" w:rsidRDefault="00C27EB0" w:rsidP="00624208">
      <w:pPr>
        <w:pStyle w:val="ListParagraph"/>
        <w:numPr>
          <w:ilvl w:val="0"/>
          <w:numId w:val="20"/>
        </w:numPr>
        <w:spacing w:after="0" w:line="240" w:lineRule="auto"/>
      </w:pPr>
      <w:r>
        <w:t>Follow up regarding GRIFT, HQIP supportive of providing this data</w:t>
      </w:r>
    </w:p>
    <w:p w:rsidR="009901D5" w:rsidRPr="00282DA7" w:rsidRDefault="008F389E" w:rsidP="00282DA7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9F6982">
        <w:rPr>
          <w:rFonts w:ascii="Century Gothic" w:eastAsia="Times New Roman" w:hAnsi="Century Gothic" w:cs="Helvetica"/>
          <w:color w:val="000000"/>
          <w:sz w:val="20"/>
          <w:szCs w:val="20"/>
          <w:lang w:eastAsia="en-GB"/>
        </w:rPr>
        <w:t>                             </w:t>
      </w:r>
    </w:p>
    <w:p w:rsidR="00AC41D3" w:rsidRPr="007A3D23" w:rsidRDefault="007A3D23" w:rsidP="007A3D23">
      <w:pPr>
        <w:spacing w:after="0"/>
        <w:rPr>
          <w:b/>
        </w:rPr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NELA PB/ 0</w:t>
      </w:r>
      <w:r w:rsidR="0034311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="00396FAF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/ 4 Project Report</w:t>
      </w:r>
      <w:r w:rsidRPr="007A3D23">
        <w:rPr>
          <w:b/>
        </w:rPr>
        <w:tab/>
      </w:r>
      <w:r w:rsidRPr="007A3D23">
        <w:rPr>
          <w:b/>
        </w:rPr>
        <w:tab/>
      </w:r>
      <w:r w:rsidRPr="007A3D23">
        <w:rPr>
          <w:b/>
        </w:rPr>
        <w:tab/>
      </w:r>
      <w:r w:rsidRPr="007A3D23">
        <w:rPr>
          <w:b/>
        </w:rPr>
        <w:tab/>
      </w:r>
      <w:r w:rsidRPr="007A3D23">
        <w:rPr>
          <w:b/>
        </w:rPr>
        <w:tab/>
      </w:r>
      <w:r w:rsidRPr="007A3D23">
        <w:rPr>
          <w:b/>
        </w:rPr>
        <w:tab/>
      </w:r>
      <w:r w:rsidRPr="007A3D23">
        <w:rPr>
          <w:b/>
        </w:rPr>
        <w:tab/>
      </w:r>
      <w:r w:rsidRPr="007A3D23">
        <w:rPr>
          <w:b/>
        </w:rPr>
        <w:tab/>
      </w:r>
    </w:p>
    <w:p w:rsidR="00AC41D3" w:rsidRPr="00BC55E0" w:rsidRDefault="009F1F37" w:rsidP="00595999">
      <w:pPr>
        <w:spacing w:after="0" w:line="240" w:lineRule="auto"/>
        <w:rPr>
          <w:b/>
        </w:rPr>
      </w:pPr>
      <w:r w:rsidRPr="00BC55E0">
        <w:rPr>
          <w:b/>
        </w:rPr>
        <w:t xml:space="preserve">Highlight Report </w:t>
      </w:r>
      <w:r w:rsidR="00396FAF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– Audit Update</w:t>
      </w:r>
    </w:p>
    <w:p w:rsidR="008F389E" w:rsidRDefault="00027AA7" w:rsidP="00595999">
      <w:pPr>
        <w:spacing w:after="0" w:line="240" w:lineRule="auto"/>
      </w:pPr>
      <w:r>
        <w:t>Jose</w:t>
      </w:r>
      <w:r w:rsidR="008F389E" w:rsidRPr="00291FEB">
        <w:t xml:space="preserve"> Lourtie gave an update on </w:t>
      </w:r>
      <w:r w:rsidR="00F51A7C" w:rsidRPr="00291FEB">
        <w:t>changes, which</w:t>
      </w:r>
      <w:r w:rsidR="008F389E" w:rsidRPr="00291FEB">
        <w:t xml:space="preserve"> have </w:t>
      </w:r>
      <w:r w:rsidR="00595999" w:rsidRPr="00291FEB">
        <w:t xml:space="preserve">occurred </w:t>
      </w:r>
      <w:r w:rsidR="008F389E" w:rsidRPr="00291FEB">
        <w:t xml:space="preserve">overall </w:t>
      </w:r>
      <w:r w:rsidR="00595999" w:rsidRPr="00291FEB">
        <w:t xml:space="preserve">on the </w:t>
      </w:r>
      <w:r w:rsidR="008F389E" w:rsidRPr="00291FEB">
        <w:t>project since the last project board meeting</w:t>
      </w:r>
      <w:r w:rsidR="00F77508">
        <w:t>. Updates mentioned were:</w:t>
      </w:r>
    </w:p>
    <w:p w:rsidR="00795BA2" w:rsidRDefault="00795BA2" w:rsidP="00795BA2">
      <w:pPr>
        <w:spacing w:after="0" w:line="240" w:lineRule="auto"/>
      </w:pPr>
      <w:r>
        <w:t>-</w:t>
      </w:r>
      <w:r w:rsidR="008C7960">
        <w:t xml:space="preserve">The year 4 Patient Report </w:t>
      </w:r>
      <w:proofErr w:type="gramStart"/>
      <w:r w:rsidR="008C7960">
        <w:t>has not been published</w:t>
      </w:r>
      <w:proofErr w:type="gramEnd"/>
      <w:r w:rsidR="008C7960">
        <w:t xml:space="preserve"> due to NHS England review process being delayed. </w:t>
      </w:r>
    </w:p>
    <w:p w:rsidR="008C7960" w:rsidRDefault="00795BA2" w:rsidP="00795BA2">
      <w:pPr>
        <w:spacing w:after="0" w:line="240" w:lineRule="auto"/>
      </w:pPr>
      <w:r>
        <w:t>-</w:t>
      </w:r>
      <w:r w:rsidR="008C7960">
        <w:t xml:space="preserve">HQIP have explained that the report </w:t>
      </w:r>
      <w:r w:rsidR="00CC298E">
        <w:t>may be</w:t>
      </w:r>
      <w:r w:rsidR="008C7960">
        <w:t xml:space="preserve"> published </w:t>
      </w:r>
      <w:r w:rsidR="00065DB5">
        <w:t>in September/October</w:t>
      </w:r>
    </w:p>
    <w:p w:rsidR="00CC298E" w:rsidRDefault="00795BA2" w:rsidP="00595999">
      <w:pPr>
        <w:spacing w:after="0" w:line="240" w:lineRule="auto"/>
      </w:pPr>
      <w:r>
        <w:t>-</w:t>
      </w:r>
      <w:r w:rsidR="00CC298E">
        <w:t xml:space="preserve">The </w:t>
      </w:r>
      <w:r w:rsidR="00027AA7">
        <w:t xml:space="preserve">project team </w:t>
      </w:r>
      <w:r w:rsidR="00CC298E">
        <w:t xml:space="preserve">will be communicating the delay with the local sites </w:t>
      </w:r>
      <w:r w:rsidR="00027AA7">
        <w:t xml:space="preserve">and other </w:t>
      </w:r>
      <w:r w:rsidR="001B0D1D">
        <w:t>stakeholders.</w:t>
      </w:r>
    </w:p>
    <w:p w:rsidR="00027AA7" w:rsidRDefault="00027AA7" w:rsidP="00595999">
      <w:pPr>
        <w:spacing w:after="0" w:line="240" w:lineRule="auto"/>
      </w:pPr>
      <w:r>
        <w:t>- Outlined some of the quality improvement work that has taken place including the Online Dashboard, Quarterly Reports, QI Workshops, and Devolved Nations.</w:t>
      </w:r>
    </w:p>
    <w:p w:rsidR="00027AA7" w:rsidRDefault="00027AA7" w:rsidP="00595999">
      <w:pPr>
        <w:spacing w:after="0" w:line="240" w:lineRule="auto"/>
      </w:pPr>
      <w:r>
        <w:t>- Highlighted current NELA collaborations and other ongoing studies</w:t>
      </w:r>
    </w:p>
    <w:p w:rsidR="00027AA7" w:rsidRDefault="00027AA7" w:rsidP="00595999">
      <w:pPr>
        <w:spacing w:after="0" w:line="240" w:lineRule="auto"/>
      </w:pPr>
      <w:r>
        <w:t>- Also updated on the changes to risks and that finances were within expected targets.</w:t>
      </w:r>
    </w:p>
    <w:p w:rsidR="001B0D1D" w:rsidRDefault="001B0D1D" w:rsidP="00291FEB">
      <w:pPr>
        <w:spacing w:after="0" w:line="240" w:lineRule="auto"/>
      </w:pPr>
    </w:p>
    <w:p w:rsidR="001F1968" w:rsidRDefault="001F1968" w:rsidP="00282DA7">
      <w:pPr>
        <w:spacing w:after="0"/>
        <w:contextualSpacing/>
      </w:pPr>
    </w:p>
    <w:p w:rsidR="00897B95" w:rsidRDefault="007A3D23" w:rsidP="00624208">
      <w:pPr>
        <w:spacing w:after="0"/>
        <w:contextualSpacing/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NELA PB/ 0</w:t>
      </w:r>
      <w:r w:rsidR="0034311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/ 5 </w:t>
      </w:r>
      <w:r w:rsidR="00536C82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Patient Audit</w:t>
      </w:r>
      <w:r w:rsidR="00536C82" w:rsidRPr="00536C82">
        <w:t xml:space="preserve"> </w:t>
      </w:r>
      <w:r w:rsidR="00536C82">
        <w:tab/>
      </w:r>
      <w:r w:rsidR="00536C82">
        <w:tab/>
      </w:r>
      <w:r w:rsidR="00536C82">
        <w:tab/>
      </w:r>
      <w:r w:rsidR="00536C82">
        <w:tab/>
      </w:r>
      <w:r w:rsidR="00536C82">
        <w:tab/>
      </w:r>
      <w:r w:rsidR="00536C82">
        <w:tab/>
      </w:r>
      <w:r w:rsidR="00536C82">
        <w:tab/>
      </w:r>
    </w:p>
    <w:p w:rsidR="00E12F91" w:rsidRPr="00624208" w:rsidRDefault="00897B95" w:rsidP="00624208">
      <w:pPr>
        <w:spacing w:after="0"/>
        <w:contextualSpacing/>
        <w:rPr>
          <w:rFonts w:asciiTheme="minorHAnsi" w:eastAsia="Times New Roman" w:hAnsiTheme="minorHAnsi" w:cs="Helvetica"/>
          <w:b/>
          <w:color w:val="000000"/>
          <w:lang w:eastAsia="en-GB"/>
        </w:rPr>
      </w:pPr>
      <w:r>
        <w:rPr>
          <w:rFonts w:asciiTheme="minorHAnsi" w:eastAsia="Times New Roman" w:hAnsiTheme="minorHAnsi" w:cs="Helvetica"/>
          <w:b/>
          <w:color w:val="000000"/>
          <w:lang w:eastAsia="en-GB"/>
        </w:rPr>
        <w:t>a.</w:t>
      </w:r>
      <w:r>
        <w:t xml:space="preserve"> </w:t>
      </w:r>
      <w:r w:rsidR="00E12F91" w:rsidRPr="00624208">
        <w:rPr>
          <w:rFonts w:asciiTheme="minorHAnsi" w:eastAsia="Times New Roman" w:hAnsiTheme="minorHAnsi" w:cs="Helvetica"/>
          <w:b/>
          <w:color w:val="000000"/>
          <w:lang w:eastAsia="en-GB"/>
        </w:rPr>
        <w:t>Year 4 Patient Report</w:t>
      </w:r>
    </w:p>
    <w:p w:rsidR="000E71CF" w:rsidRDefault="000E71CF" w:rsidP="00FD43E2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 w:rsidRPr="00FD43E2">
        <w:rPr>
          <w:rFonts w:asciiTheme="minorHAnsi" w:eastAsia="Times New Roman" w:hAnsiTheme="minorHAnsi" w:cs="Helvetica"/>
          <w:color w:val="000000"/>
          <w:lang w:eastAsia="en-GB"/>
        </w:rPr>
        <w:t>S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 xml:space="preserve">arah 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>H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>are</w:t>
      </w:r>
      <w:r w:rsidR="008448FD">
        <w:rPr>
          <w:rFonts w:asciiTheme="minorHAnsi" w:eastAsia="Times New Roman" w:hAnsiTheme="minorHAnsi" w:cs="Helvetica"/>
          <w:color w:val="000000"/>
          <w:lang w:eastAsia="en-GB"/>
        </w:rPr>
        <w:t xml:space="preserve"> provided a presentation on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the fourth 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 xml:space="preserve">patient 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report 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>that includes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23,929 </w:t>
      </w:r>
      <w:r w:rsidR="0032562C" w:rsidRPr="00FD43E2">
        <w:rPr>
          <w:rFonts w:asciiTheme="minorHAnsi" w:eastAsia="Times New Roman" w:hAnsiTheme="minorHAnsi" w:cs="Helvetica"/>
          <w:color w:val="000000"/>
          <w:lang w:eastAsia="en-GB"/>
        </w:rPr>
        <w:t>patients’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data, across 183 hospitals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>.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>W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e have used 179 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 xml:space="preserve">hospitals for benefit of 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case ascertainment within the </w:t>
      </w:r>
      <w:r w:rsidR="00F51A7C" w:rsidRPr="00FD43E2">
        <w:rPr>
          <w:rFonts w:asciiTheme="minorHAnsi" w:eastAsia="Times New Roman" w:hAnsiTheme="minorHAnsi" w:cs="Helvetica"/>
          <w:color w:val="000000"/>
          <w:lang w:eastAsia="en-GB"/>
        </w:rPr>
        <w:t>report, which</w:t>
      </w:r>
      <w:r w:rsidR="00027AA7">
        <w:rPr>
          <w:rFonts w:asciiTheme="minorHAnsi" w:eastAsia="Times New Roman" w:hAnsiTheme="minorHAnsi" w:cs="Helvetica"/>
          <w:color w:val="000000"/>
          <w:lang w:eastAsia="en-GB"/>
        </w:rPr>
        <w:t xml:space="preserve"> includes an explanation of 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how they have come to those numbers and flow charts </w:t>
      </w:r>
      <w:r w:rsidR="002D06AA">
        <w:rPr>
          <w:rFonts w:asciiTheme="minorHAnsi" w:eastAsia="Times New Roman" w:hAnsiTheme="minorHAnsi" w:cs="Helvetica"/>
          <w:color w:val="000000"/>
          <w:lang w:eastAsia="en-GB"/>
        </w:rPr>
        <w:lastRenderedPageBreak/>
        <w:t>demonstrating this</w:t>
      </w:r>
      <w:r w:rsidRPr="00FD43E2">
        <w:rPr>
          <w:rFonts w:asciiTheme="minorHAnsi" w:eastAsia="Times New Roman" w:hAnsiTheme="minorHAnsi" w:cs="Helvetica"/>
          <w:color w:val="000000"/>
          <w:lang w:eastAsia="en-GB"/>
        </w:rPr>
        <w:t>.</w:t>
      </w:r>
      <w:r w:rsidR="00FD43E2"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The national mortality has reduce to 9.5</w:t>
      </w:r>
      <w:r w:rsidR="00F51A7C" w:rsidRPr="00FD43E2">
        <w:rPr>
          <w:rFonts w:asciiTheme="minorHAnsi" w:eastAsia="Times New Roman" w:hAnsiTheme="minorHAnsi" w:cs="Helvetica"/>
          <w:color w:val="000000"/>
          <w:lang w:eastAsia="en-GB"/>
        </w:rPr>
        <w:t>%, which</w:t>
      </w:r>
      <w:r w:rsidR="00FD43E2"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is do</w:t>
      </w:r>
      <w:r w:rsidR="002D06AA">
        <w:rPr>
          <w:rFonts w:asciiTheme="minorHAnsi" w:eastAsia="Times New Roman" w:hAnsiTheme="minorHAnsi" w:cs="Helvetica"/>
          <w:color w:val="000000"/>
          <w:lang w:eastAsia="en-GB"/>
        </w:rPr>
        <w:t>wn</w:t>
      </w:r>
      <w:r w:rsidR="00FD43E2"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from </w:t>
      </w:r>
      <w:r w:rsidR="002D06AA">
        <w:rPr>
          <w:rFonts w:asciiTheme="minorHAnsi" w:eastAsia="Times New Roman" w:hAnsiTheme="minorHAnsi" w:cs="Helvetica"/>
          <w:color w:val="000000"/>
          <w:lang w:eastAsia="en-GB"/>
        </w:rPr>
        <w:t>2013</w:t>
      </w:r>
      <w:r w:rsidR="00FD43E2"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>when it</w:t>
      </w:r>
      <w:r w:rsidR="0032562C" w:rsidRPr="00FD43E2">
        <w:rPr>
          <w:rFonts w:asciiTheme="minorHAnsi" w:eastAsia="Times New Roman" w:hAnsiTheme="minorHAnsi" w:cs="Helvetica"/>
          <w:color w:val="000000"/>
          <w:lang w:eastAsia="en-GB"/>
        </w:rPr>
        <w:t xml:space="preserve"> </w:t>
      </w:r>
      <w:r w:rsidR="00FD43E2" w:rsidRPr="00FD43E2">
        <w:rPr>
          <w:rFonts w:asciiTheme="minorHAnsi" w:eastAsia="Times New Roman" w:hAnsiTheme="minorHAnsi" w:cs="Helvetica"/>
          <w:color w:val="000000"/>
          <w:lang w:eastAsia="en-GB"/>
        </w:rPr>
        <w:t>was 11.8%</w:t>
      </w:r>
      <w:r w:rsidR="00FD43E2">
        <w:rPr>
          <w:rFonts w:asciiTheme="minorHAnsi" w:eastAsia="Times New Roman" w:hAnsiTheme="minorHAnsi" w:cs="Helvetica"/>
          <w:color w:val="000000"/>
          <w:lang w:eastAsia="en-GB"/>
        </w:rPr>
        <w:t>.</w:t>
      </w:r>
    </w:p>
    <w:p w:rsidR="002D06AA" w:rsidRDefault="002D06AA" w:rsidP="009A54CC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Sarah Hare went on to highlight the main findings in the report:</w:t>
      </w:r>
    </w:p>
    <w:p w:rsidR="002D06AA" w:rsidRDefault="002D06AA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13,548 (57%) patients had a calculated risk of death &gt;5%</w:t>
      </w:r>
    </w:p>
    <w:p w:rsidR="002D06AA" w:rsidRDefault="002D06AA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M</w:t>
      </w:r>
      <w:r w:rsidR="007E28A3"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ore patients are having </w:t>
      </w:r>
      <w:r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 </w:t>
      </w:r>
      <w:r w:rsidR="007E28A3" w:rsidRPr="00624208">
        <w:rPr>
          <w:rFonts w:asciiTheme="minorHAnsi" w:eastAsia="Times New Roman" w:hAnsiTheme="minorHAnsi" w:cs="Helvetica"/>
          <w:color w:val="000000"/>
          <w:lang w:eastAsia="en-GB"/>
        </w:rPr>
        <w:t>scans reported</w:t>
      </w:r>
    </w:p>
    <w:p w:rsidR="002D06AA" w:rsidRDefault="007E28A3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Number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 xml:space="preserve">of </w:t>
      </w:r>
      <w:r w:rsidRPr="00624208">
        <w:rPr>
          <w:rFonts w:asciiTheme="minorHAnsi" w:eastAsia="Times New Roman" w:hAnsiTheme="minorHAnsi" w:cs="Helvetica"/>
          <w:color w:val="000000"/>
          <w:lang w:eastAsia="en-GB"/>
        </w:rPr>
        <w:t>patients that received consultant deliver</w:t>
      </w:r>
      <w:r w:rsidR="002D06AA">
        <w:rPr>
          <w:rFonts w:asciiTheme="minorHAnsi" w:eastAsia="Times New Roman" w:hAnsiTheme="minorHAnsi" w:cs="Helvetica"/>
          <w:color w:val="000000"/>
          <w:lang w:eastAsia="en-GB"/>
        </w:rPr>
        <w:t>ed</w:t>
      </w:r>
      <w:r w:rsidR="00595DF0"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 care has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>increased</w:t>
      </w:r>
    </w:p>
    <w:p w:rsidR="00FD43E2" w:rsidRPr="00624208" w:rsidRDefault="002D06AA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T</w:t>
      </w:r>
      <w:r w:rsidR="00EB3305" w:rsidRPr="00624208">
        <w:rPr>
          <w:rFonts w:asciiTheme="minorHAnsi" w:eastAsia="Times New Roman" w:hAnsiTheme="minorHAnsi" w:cs="Helvetica"/>
          <w:color w:val="000000"/>
          <w:lang w:eastAsia="en-GB"/>
        </w:rPr>
        <w:t>h</w:t>
      </w:r>
      <w:r w:rsidR="00595DF0"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ere are 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still issues with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 xml:space="preserve">delays in </w:t>
      </w:r>
      <w:r w:rsidR="0032562C"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getting </w:t>
      </w:r>
      <w:r w:rsidR="00595DF0"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patients </w:t>
      </w:r>
      <w:r>
        <w:rPr>
          <w:rFonts w:asciiTheme="minorHAnsi" w:eastAsia="Times New Roman" w:hAnsiTheme="minorHAnsi" w:cs="Helvetica"/>
          <w:color w:val="000000"/>
          <w:lang w:eastAsia="en-GB"/>
        </w:rPr>
        <w:t>to</w:t>
      </w:r>
      <w:r w:rsidR="00595DF0" w:rsidRPr="00624208">
        <w:rPr>
          <w:rFonts w:asciiTheme="minorHAnsi" w:eastAsia="Times New Roman" w:hAnsiTheme="minorHAnsi" w:cs="Helvetica"/>
          <w:color w:val="000000"/>
          <w:lang w:eastAsia="en-GB"/>
        </w:rPr>
        <w:t xml:space="preserve"> theatre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>.</w:t>
      </w:r>
    </w:p>
    <w:p w:rsidR="009A54CC" w:rsidRDefault="009A54CC" w:rsidP="009A54CC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</w:p>
    <w:p w:rsidR="00EB3305" w:rsidRDefault="00EB3305" w:rsidP="009A54CC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 xml:space="preserve">Only one hospital </w:t>
      </w:r>
      <w:proofErr w:type="gramStart"/>
      <w:r>
        <w:rPr>
          <w:rFonts w:asciiTheme="minorHAnsi" w:eastAsia="Times New Roman" w:hAnsiTheme="minorHAnsi" w:cs="Helvetica"/>
          <w:color w:val="000000"/>
          <w:lang w:eastAsia="en-GB"/>
        </w:rPr>
        <w:t>has been flag</w:t>
      </w:r>
      <w:r w:rsidR="002D06AA">
        <w:rPr>
          <w:rFonts w:asciiTheme="minorHAnsi" w:eastAsia="Times New Roman" w:hAnsiTheme="minorHAnsi" w:cs="Helvetica"/>
          <w:color w:val="000000"/>
          <w:lang w:eastAsia="en-GB"/>
        </w:rPr>
        <w:t>ged</w:t>
      </w:r>
      <w:proofErr w:type="gramEnd"/>
      <w:r>
        <w:rPr>
          <w:rFonts w:asciiTheme="minorHAnsi" w:eastAsia="Times New Roman" w:hAnsiTheme="minorHAnsi" w:cs="Helvetica"/>
          <w:color w:val="000000"/>
          <w:lang w:eastAsia="en-GB"/>
        </w:rPr>
        <w:t xml:space="preserve"> as </w:t>
      </w:r>
      <w:r w:rsidR="00685077">
        <w:rPr>
          <w:rFonts w:asciiTheme="minorHAnsi" w:eastAsia="Times New Roman" w:hAnsiTheme="minorHAnsi" w:cs="Helvetica"/>
          <w:color w:val="000000"/>
          <w:lang w:eastAsia="en-GB"/>
        </w:rPr>
        <w:t>an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 outlier and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>there were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>five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 hospitals in alert status.</w:t>
      </w:r>
      <w:r w:rsidR="009A54CC">
        <w:rPr>
          <w:rFonts w:asciiTheme="minorHAnsi" w:eastAsia="Times New Roman" w:hAnsiTheme="minorHAnsi" w:cs="Helvetica"/>
          <w:color w:val="000000"/>
          <w:lang w:eastAsia="en-GB"/>
        </w:rPr>
        <w:t xml:space="preserve"> </w:t>
      </w:r>
    </w:p>
    <w:p w:rsidR="002D06AA" w:rsidRDefault="002D06AA" w:rsidP="009A54CC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</w:p>
    <w:p w:rsidR="00685077" w:rsidRDefault="002D06AA" w:rsidP="009A54CC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There was a new question reported in Year 4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>: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 residence after discharge. Although there may be </w:t>
      </w:r>
      <w:r w:rsidR="00F51A7C">
        <w:rPr>
          <w:rFonts w:asciiTheme="minorHAnsi" w:eastAsia="Times New Roman" w:hAnsiTheme="minorHAnsi" w:cs="Helvetica"/>
          <w:color w:val="000000"/>
          <w:lang w:eastAsia="en-GB"/>
        </w:rPr>
        <w:t>confusion,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 regarding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 xml:space="preserve">whether 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Nursing Home meant ‘Own Home’ </w:t>
      </w:r>
      <w:r w:rsidR="0032562C">
        <w:rPr>
          <w:rFonts w:asciiTheme="minorHAnsi" w:eastAsia="Times New Roman" w:hAnsiTheme="minorHAnsi" w:cs="Helvetica"/>
          <w:color w:val="000000"/>
          <w:lang w:eastAsia="en-GB"/>
        </w:rPr>
        <w:t>.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This </w:t>
      </w:r>
      <w:proofErr w:type="gramStart"/>
      <w:r>
        <w:rPr>
          <w:rFonts w:asciiTheme="minorHAnsi" w:eastAsia="Times New Roman" w:hAnsiTheme="minorHAnsi" w:cs="Helvetica"/>
          <w:color w:val="000000"/>
          <w:lang w:eastAsia="en-GB"/>
        </w:rPr>
        <w:t>will be cleared up</w:t>
      </w:r>
      <w:proofErr w:type="gramEnd"/>
      <w:r>
        <w:rPr>
          <w:rFonts w:asciiTheme="minorHAnsi" w:eastAsia="Times New Roman" w:hAnsiTheme="minorHAnsi" w:cs="Helvetica"/>
          <w:color w:val="000000"/>
          <w:lang w:eastAsia="en-GB"/>
        </w:rPr>
        <w:t xml:space="preserve"> for Year 6. </w:t>
      </w:r>
    </w:p>
    <w:p w:rsidR="00E12F91" w:rsidRDefault="00E12F91" w:rsidP="009A54CC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</w:p>
    <w:p w:rsidR="00E12F91" w:rsidRPr="00624208" w:rsidRDefault="00C40A2E" w:rsidP="00624208">
      <w:pPr>
        <w:spacing w:after="0"/>
        <w:rPr>
          <w:rFonts w:asciiTheme="minorHAnsi" w:eastAsia="Times New Roman" w:hAnsiTheme="minorHAnsi" w:cs="Helvetica"/>
          <w:b/>
          <w:color w:val="000000"/>
          <w:lang w:eastAsia="en-GB"/>
        </w:rPr>
      </w:pPr>
      <w:r w:rsidRPr="00624208">
        <w:rPr>
          <w:rFonts w:asciiTheme="minorHAnsi" w:eastAsia="Times New Roman" w:hAnsiTheme="minorHAnsi" w:cs="Helvetica"/>
          <w:b/>
          <w:color w:val="000000"/>
          <w:lang w:eastAsia="en-GB"/>
        </w:rPr>
        <w:t xml:space="preserve">b. </w:t>
      </w:r>
      <w:r w:rsidR="00E12F91" w:rsidRPr="00624208">
        <w:rPr>
          <w:rFonts w:asciiTheme="minorHAnsi" w:eastAsia="Times New Roman" w:hAnsiTheme="minorHAnsi" w:cs="Helvetica"/>
          <w:b/>
          <w:color w:val="000000"/>
          <w:lang w:eastAsia="en-GB"/>
        </w:rPr>
        <w:t>Year 5 Patient Audit</w:t>
      </w:r>
    </w:p>
    <w:p w:rsidR="002D06AA" w:rsidRDefault="002D06AA" w:rsidP="00E12F91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Sarah Hare updated the Board on the current Year 5 status. This includes a couple of new questions regarding residence before admission and questions to do with learning d</w:t>
      </w:r>
      <w:r w:rsidR="00C40A2E">
        <w:rPr>
          <w:rFonts w:asciiTheme="minorHAnsi" w:eastAsia="Times New Roman" w:hAnsiTheme="minorHAnsi" w:cs="Helvetica"/>
          <w:color w:val="000000"/>
          <w:lang w:eastAsia="en-GB"/>
        </w:rPr>
        <w:t>isabilities, autism and frailty.</w:t>
      </w:r>
    </w:p>
    <w:p w:rsidR="00C40A2E" w:rsidRDefault="00C40A2E" w:rsidP="00E12F91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</w:p>
    <w:p w:rsidR="00C40A2E" w:rsidRDefault="009A7DD1" w:rsidP="00E12F91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T</w:t>
      </w:r>
      <w:r w:rsidR="007D78F4">
        <w:rPr>
          <w:rFonts w:asciiTheme="minorHAnsi" w:eastAsia="Times New Roman" w:hAnsiTheme="minorHAnsi" w:cs="Helvetica"/>
          <w:color w:val="000000"/>
          <w:lang w:eastAsia="en-GB"/>
        </w:rPr>
        <w:t xml:space="preserve">his year </w:t>
      </w:r>
      <w:r w:rsidR="00C40A2E">
        <w:rPr>
          <w:rFonts w:asciiTheme="minorHAnsi" w:eastAsia="Times New Roman" w:hAnsiTheme="minorHAnsi" w:cs="Helvetica"/>
          <w:color w:val="000000"/>
          <w:lang w:eastAsia="en-GB"/>
        </w:rPr>
        <w:t>data collection ends on 30 November and local</w:t>
      </w:r>
      <w:r w:rsidR="007D78F4">
        <w:rPr>
          <w:rFonts w:asciiTheme="minorHAnsi" w:eastAsia="Times New Roman" w:hAnsiTheme="minorHAnsi" w:cs="Helvetica"/>
          <w:color w:val="000000"/>
          <w:lang w:eastAsia="en-GB"/>
        </w:rPr>
        <w:t xml:space="preserve"> teams will have until </w:t>
      </w:r>
      <w:r w:rsidR="00C40A2E">
        <w:rPr>
          <w:rFonts w:asciiTheme="minorHAnsi" w:eastAsia="Times New Roman" w:hAnsiTheme="minorHAnsi" w:cs="Helvetica"/>
          <w:color w:val="000000"/>
          <w:lang w:eastAsia="en-GB"/>
        </w:rPr>
        <w:t xml:space="preserve">end of January 2019 </w:t>
      </w:r>
      <w:r w:rsidR="007D78F4">
        <w:rPr>
          <w:rFonts w:asciiTheme="minorHAnsi" w:eastAsia="Times New Roman" w:hAnsiTheme="minorHAnsi" w:cs="Helvetica"/>
          <w:color w:val="000000"/>
          <w:lang w:eastAsia="en-GB"/>
        </w:rPr>
        <w:t>to lock their cases.</w:t>
      </w:r>
    </w:p>
    <w:p w:rsidR="00C40A2E" w:rsidRDefault="00C40A2E" w:rsidP="00E12F91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</w:p>
    <w:p w:rsidR="00C40A2E" w:rsidRDefault="00C40A2E" w:rsidP="00E12F91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 xml:space="preserve">Some early data for year 5 </w:t>
      </w:r>
      <w:proofErr w:type="gramStart"/>
      <w:r>
        <w:rPr>
          <w:rFonts w:asciiTheme="minorHAnsi" w:eastAsia="Times New Roman" w:hAnsiTheme="minorHAnsi" w:cs="Helvetica"/>
          <w:color w:val="000000"/>
          <w:lang w:eastAsia="en-GB"/>
        </w:rPr>
        <w:t>was presented</w:t>
      </w:r>
      <w:proofErr w:type="gramEnd"/>
      <w:r>
        <w:rPr>
          <w:rFonts w:asciiTheme="minorHAnsi" w:eastAsia="Times New Roman" w:hAnsiTheme="minorHAnsi" w:cs="Helvetica"/>
          <w:color w:val="000000"/>
          <w:lang w:eastAsia="en-GB"/>
        </w:rPr>
        <w:t>.</w:t>
      </w:r>
    </w:p>
    <w:p w:rsidR="00C40A2E" w:rsidRDefault="00C40A2E" w:rsidP="00E12F91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</w:p>
    <w:p w:rsidR="00DF4C73" w:rsidRDefault="00DF4C73" w:rsidP="00E12F91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</w:p>
    <w:p w:rsidR="009901D5" w:rsidRPr="009F5AF6" w:rsidRDefault="009F1F37" w:rsidP="00282DA7">
      <w:pPr>
        <w:spacing w:after="0"/>
      </w:pPr>
      <w:r w:rsidRPr="00282DA7">
        <w:rPr>
          <w:rFonts w:ascii="Century Gothic" w:eastAsia="Times New Roman" w:hAnsi="Century Gothic" w:cs="Helvetica"/>
          <w:color w:val="000000"/>
          <w:sz w:val="20"/>
          <w:szCs w:val="20"/>
          <w:lang w:eastAsia="en-GB"/>
        </w:rPr>
        <w:tab/>
      </w:r>
      <w:r>
        <w:tab/>
      </w:r>
      <w:r>
        <w:tab/>
      </w:r>
      <w:r>
        <w:tab/>
      </w:r>
      <w:r>
        <w:tab/>
      </w:r>
      <w:r w:rsidR="00FD5193">
        <w:tab/>
      </w:r>
    </w:p>
    <w:p w:rsidR="00536C82" w:rsidRPr="00282DA7" w:rsidRDefault="007A3D23" w:rsidP="00282DA7">
      <w:pPr>
        <w:spacing w:after="0"/>
        <w:contextualSpacing/>
        <w:rPr>
          <w:rFonts w:ascii="Century Gothic" w:eastAsia="Times New Roman" w:hAnsi="Century Gothic" w:cs="Helvetica"/>
          <w:color w:val="000000"/>
          <w:sz w:val="20"/>
          <w:szCs w:val="20"/>
          <w:lang w:eastAsia="en-GB"/>
        </w:rPr>
      </w:pPr>
      <w:r w:rsidRPr="00282DA7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NELA PB/ 0</w:t>
      </w:r>
      <w:r w:rsidR="0034311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9</w:t>
      </w:r>
      <w:r w:rsidRPr="00282DA7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Pr="00282DA7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/ 6 </w:t>
      </w:r>
      <w:r w:rsidR="009901D5" w:rsidRPr="00282DA7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Future Development of NELA</w:t>
      </w:r>
      <w:r w:rsidR="009F4AB9">
        <w:tab/>
      </w:r>
      <w:r w:rsidR="009F4AB9">
        <w:tab/>
      </w:r>
      <w:r w:rsidR="009F4AB9">
        <w:tab/>
      </w:r>
      <w:r w:rsidR="009F4AB9">
        <w:tab/>
      </w:r>
      <w:r w:rsidR="009F4AB9">
        <w:tab/>
      </w:r>
    </w:p>
    <w:p w:rsidR="00C40A2E" w:rsidRPr="00624208" w:rsidRDefault="00865EA9" w:rsidP="00897B95">
      <w:pPr>
        <w:pStyle w:val="ListParagraph"/>
        <w:numPr>
          <w:ilvl w:val="0"/>
          <w:numId w:val="21"/>
        </w:numPr>
        <w:spacing w:after="0"/>
        <w:ind w:left="284" w:hanging="284"/>
        <w:rPr>
          <w:b/>
        </w:rPr>
      </w:pPr>
      <w:r w:rsidRPr="00624208">
        <w:rPr>
          <w:b/>
        </w:rPr>
        <w:t>Future NELA Reports</w:t>
      </w:r>
    </w:p>
    <w:p w:rsidR="00C40A2E" w:rsidRDefault="00C40A2E" w:rsidP="00C40A2E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 xml:space="preserve">The project team has discussed that they would like to move away from the </w:t>
      </w:r>
      <w:proofErr w:type="gramStart"/>
      <w:r>
        <w:rPr>
          <w:rFonts w:asciiTheme="minorHAnsi" w:eastAsia="Times New Roman" w:hAnsiTheme="minorHAnsi" w:cs="Helvetica"/>
          <w:color w:val="000000"/>
          <w:lang w:eastAsia="en-GB"/>
        </w:rPr>
        <w:t>100 page</w:t>
      </w:r>
      <w:proofErr w:type="gramEnd"/>
      <w:r>
        <w:rPr>
          <w:rFonts w:asciiTheme="minorHAnsi" w:eastAsia="Times New Roman" w:hAnsiTheme="minorHAnsi" w:cs="Helvetica"/>
          <w:color w:val="000000"/>
          <w:lang w:eastAsia="en-GB"/>
        </w:rPr>
        <w:t xml:space="preserve"> report and become more current and rapid in how things</w:t>
      </w:r>
      <w:r w:rsidR="009A7DD1">
        <w:rPr>
          <w:rFonts w:asciiTheme="minorHAnsi" w:eastAsia="Times New Roman" w:hAnsiTheme="minorHAnsi" w:cs="Helvetica"/>
          <w:color w:val="000000"/>
          <w:lang w:eastAsia="en-GB"/>
        </w:rPr>
        <w:t xml:space="preserve"> are presented</w:t>
      </w:r>
      <w:r>
        <w:rPr>
          <w:rFonts w:asciiTheme="minorHAnsi" w:eastAsia="Times New Roman" w:hAnsiTheme="minorHAnsi" w:cs="Helvetica"/>
          <w:color w:val="000000"/>
          <w:lang w:eastAsia="en-GB"/>
        </w:rPr>
        <w:t xml:space="preserve">. </w:t>
      </w:r>
      <w:proofErr w:type="gramStart"/>
      <w:r>
        <w:rPr>
          <w:rFonts w:asciiTheme="minorHAnsi" w:eastAsia="Times New Roman" w:hAnsiTheme="minorHAnsi" w:cs="Helvetica"/>
          <w:color w:val="000000"/>
          <w:lang w:eastAsia="en-GB"/>
        </w:rPr>
        <w:t>Shorter more frequent reports, with two focused theme reports throughout the year.</w:t>
      </w:r>
      <w:proofErr w:type="gramEnd"/>
    </w:p>
    <w:p w:rsidR="00C40A2E" w:rsidRDefault="00C40A2E" w:rsidP="00C40A2E">
      <w:p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Sarah Hare outlined some of the initial options for these shorter themed reports:</w:t>
      </w:r>
    </w:p>
    <w:p w:rsidR="00C40A2E" w:rsidRDefault="00C40A2E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Elderly</w:t>
      </w:r>
    </w:p>
    <w:p w:rsidR="00C40A2E" w:rsidRDefault="00C40A2E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Risk assessment</w:t>
      </w:r>
    </w:p>
    <w:p w:rsidR="00C40A2E" w:rsidRDefault="00C40A2E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Urgency of care</w:t>
      </w:r>
    </w:p>
    <w:p w:rsidR="00C40A2E" w:rsidRDefault="00C40A2E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Radiology</w:t>
      </w:r>
    </w:p>
    <w:p w:rsidR="00C40A2E" w:rsidRPr="00624208" w:rsidRDefault="00C40A2E" w:rsidP="00624208">
      <w:pPr>
        <w:pStyle w:val="ListParagraph"/>
        <w:numPr>
          <w:ilvl w:val="0"/>
          <w:numId w:val="20"/>
        </w:numPr>
        <w:spacing w:after="0"/>
        <w:rPr>
          <w:rFonts w:asciiTheme="minorHAnsi" w:eastAsia="Times New Roman" w:hAnsiTheme="minorHAnsi" w:cs="Helvetica"/>
          <w:color w:val="000000"/>
          <w:lang w:eastAsia="en-GB"/>
        </w:rPr>
      </w:pPr>
      <w:r>
        <w:rPr>
          <w:rFonts w:asciiTheme="minorHAnsi" w:eastAsia="Times New Roman" w:hAnsiTheme="minorHAnsi" w:cs="Helvetica"/>
          <w:color w:val="000000"/>
          <w:lang w:eastAsia="en-GB"/>
        </w:rPr>
        <w:t>Sepsis</w:t>
      </w:r>
    </w:p>
    <w:p w:rsidR="007811FE" w:rsidRDefault="00C40A2E" w:rsidP="006A662D">
      <w:pPr>
        <w:spacing w:after="0"/>
      </w:pPr>
      <w:r>
        <w:t>There was a question about adding ‘rolling mortality’ on to the dashboard. This is something the project team are looking into.</w:t>
      </w:r>
    </w:p>
    <w:p w:rsidR="00C40A2E" w:rsidRPr="00865EA9" w:rsidRDefault="00C40A2E" w:rsidP="006A662D">
      <w:pPr>
        <w:spacing w:after="0"/>
      </w:pPr>
      <w:r>
        <w:t xml:space="preserve">There was also a suggestion to add a NELA article into the </w:t>
      </w:r>
      <w:r w:rsidR="009A7DD1">
        <w:t>Association’s Anaesthesia News</w:t>
      </w:r>
      <w:r>
        <w:t>.</w:t>
      </w:r>
    </w:p>
    <w:p w:rsidR="00C42447" w:rsidRPr="00865EA9" w:rsidRDefault="00865EA9" w:rsidP="00897B95">
      <w:pPr>
        <w:pStyle w:val="ListParagraph"/>
        <w:numPr>
          <w:ilvl w:val="0"/>
          <w:numId w:val="21"/>
        </w:numPr>
        <w:spacing w:after="0"/>
        <w:ind w:left="426"/>
      </w:pPr>
      <w:r w:rsidRPr="00624208">
        <w:rPr>
          <w:b/>
        </w:rPr>
        <w:t>QI activity</w:t>
      </w:r>
    </w:p>
    <w:p w:rsidR="00596D72" w:rsidRPr="00865EA9" w:rsidRDefault="00596D72" w:rsidP="006A662D">
      <w:pPr>
        <w:spacing w:after="0"/>
      </w:pPr>
      <w:r>
        <w:t>S</w:t>
      </w:r>
      <w:r w:rsidR="00C40A2E">
        <w:t xml:space="preserve">arah </w:t>
      </w:r>
      <w:r>
        <w:t>H</w:t>
      </w:r>
      <w:r w:rsidR="00C40A2E">
        <w:t>are</w:t>
      </w:r>
      <w:r>
        <w:t xml:space="preserve"> went on to say there has been more quality improvement workshops. </w:t>
      </w:r>
      <w:r w:rsidR="00C40A2E">
        <w:t>We are also continuing to</w:t>
      </w:r>
      <w:r w:rsidR="009A7DD1">
        <w:t xml:space="preserve"> </w:t>
      </w:r>
      <w:r w:rsidR="00C40A2E">
        <w:t>collaborate with AHSN’s and ELC. The NELA QI Lead</w:t>
      </w:r>
      <w:r w:rsidR="009A7DD1">
        <w:t>,</w:t>
      </w:r>
      <w:r w:rsidR="00C40A2E">
        <w:t xml:space="preserve"> </w:t>
      </w:r>
      <w:r>
        <w:t>Carolyn</w:t>
      </w:r>
      <w:r w:rsidR="00C40A2E">
        <w:t xml:space="preserve"> Johnston</w:t>
      </w:r>
      <w:r w:rsidR="009A7DD1">
        <w:t>,</w:t>
      </w:r>
      <w:r>
        <w:t xml:space="preserve"> will be providing </w:t>
      </w:r>
      <w:r w:rsidR="00F15075">
        <w:t xml:space="preserve">further input to improve the online dashboards </w:t>
      </w:r>
      <w:r w:rsidR="00B233F1">
        <w:t xml:space="preserve">so </w:t>
      </w:r>
      <w:r w:rsidR="00F15075">
        <w:t xml:space="preserve">it </w:t>
      </w:r>
      <w:r w:rsidR="00B233F1">
        <w:t>becomes more user friendly.</w:t>
      </w:r>
    </w:p>
    <w:p w:rsidR="00865EA9" w:rsidRDefault="00865EA9" w:rsidP="00897B95">
      <w:pPr>
        <w:pStyle w:val="ListParagraph"/>
        <w:numPr>
          <w:ilvl w:val="0"/>
          <w:numId w:val="21"/>
        </w:numPr>
        <w:spacing w:after="0"/>
        <w:ind w:left="426" w:hanging="426"/>
      </w:pPr>
      <w:r w:rsidRPr="00624208">
        <w:rPr>
          <w:b/>
        </w:rPr>
        <w:t>QA activity</w:t>
      </w:r>
    </w:p>
    <w:p w:rsidR="00B233F1" w:rsidRDefault="00F15075" w:rsidP="006A662D">
      <w:pPr>
        <w:spacing w:after="0"/>
      </w:pPr>
      <w:r>
        <w:t xml:space="preserve">Sarah Hare </w:t>
      </w:r>
      <w:r w:rsidR="009A7DD1">
        <w:t xml:space="preserve">gave an </w:t>
      </w:r>
      <w:r>
        <w:t>updat</w:t>
      </w:r>
      <w:r w:rsidR="009A7DD1">
        <w:t>e</w:t>
      </w:r>
      <w:r>
        <w:t xml:space="preserve"> on the project outputs linked to </w:t>
      </w:r>
      <w:r w:rsidR="009A7DD1">
        <w:t>Q</w:t>
      </w:r>
      <w:r>
        <w:t xml:space="preserve">uality Assurance. These include updated and improved </w:t>
      </w:r>
      <w:r w:rsidR="009A7DD1">
        <w:t>q</w:t>
      </w:r>
      <w:r>
        <w:t>uarterly reports and AHSN regional reports.</w:t>
      </w:r>
    </w:p>
    <w:p w:rsidR="00897B95" w:rsidRDefault="00897B95" w:rsidP="006A662D">
      <w:pPr>
        <w:spacing w:after="0"/>
      </w:pPr>
    </w:p>
    <w:p w:rsidR="00897B95" w:rsidRPr="00865EA9" w:rsidRDefault="00897B95" w:rsidP="006A662D">
      <w:pPr>
        <w:spacing w:after="0"/>
      </w:pPr>
    </w:p>
    <w:p w:rsidR="00865EA9" w:rsidRDefault="00865EA9" w:rsidP="00897B95">
      <w:pPr>
        <w:pStyle w:val="ListParagraph"/>
        <w:numPr>
          <w:ilvl w:val="0"/>
          <w:numId w:val="21"/>
        </w:numPr>
        <w:spacing w:after="0"/>
        <w:ind w:left="426" w:hanging="436"/>
      </w:pPr>
      <w:r w:rsidRPr="00624208">
        <w:rPr>
          <w:b/>
        </w:rPr>
        <w:lastRenderedPageBreak/>
        <w:t>Patient Engagement</w:t>
      </w:r>
    </w:p>
    <w:p w:rsidR="00914A8C" w:rsidRPr="00865EA9" w:rsidRDefault="00F15075" w:rsidP="006A662D">
      <w:pPr>
        <w:spacing w:after="0"/>
      </w:pPr>
      <w:proofErr w:type="gramStart"/>
      <w:r>
        <w:t>A further update on patient engagement was provided by Sarah Hare</w:t>
      </w:r>
      <w:proofErr w:type="gramEnd"/>
      <w:r>
        <w:t xml:space="preserve">, specifically around local patient engagement and the creation of patient groups. </w:t>
      </w:r>
      <w:r w:rsidR="009A7DD1">
        <w:t>Three</w:t>
      </w:r>
      <w:r>
        <w:t xml:space="preserve"> hospitals have now </w:t>
      </w:r>
      <w:r w:rsidR="009A7DD1">
        <w:t xml:space="preserve">set </w:t>
      </w:r>
      <w:r>
        <w:t>up their own groups and the aim from NELA is to link these up into a national group and for these patients to have input into the audit going forward.</w:t>
      </w:r>
    </w:p>
    <w:p w:rsidR="00865EA9" w:rsidRDefault="00865EA9" w:rsidP="00897B95">
      <w:pPr>
        <w:pStyle w:val="ListParagraph"/>
        <w:numPr>
          <w:ilvl w:val="0"/>
          <w:numId w:val="21"/>
        </w:numPr>
        <w:spacing w:after="0"/>
        <w:ind w:left="426"/>
      </w:pPr>
      <w:r w:rsidRPr="00624208">
        <w:rPr>
          <w:b/>
        </w:rPr>
        <w:t>Best Practice Tariff</w:t>
      </w:r>
      <w:r w:rsidR="009A7DD1">
        <w:rPr>
          <w:b/>
        </w:rPr>
        <w:t xml:space="preserve"> (BPT)</w:t>
      </w:r>
    </w:p>
    <w:p w:rsidR="00185E23" w:rsidRDefault="00185E23" w:rsidP="006A662D">
      <w:pPr>
        <w:spacing w:after="0"/>
      </w:pPr>
      <w:r>
        <w:t>D</w:t>
      </w:r>
      <w:r w:rsidR="00F15075">
        <w:t>ave Murray</w:t>
      </w:r>
      <w:r>
        <w:t xml:space="preserve"> </w:t>
      </w:r>
      <w:r w:rsidR="00F15075">
        <w:t xml:space="preserve">outlined the latest from the BPT process. Timelines </w:t>
      </w:r>
      <w:proofErr w:type="gramStart"/>
      <w:r w:rsidR="00F15075">
        <w:t>have been slightly changed</w:t>
      </w:r>
      <w:proofErr w:type="gramEnd"/>
      <w:r w:rsidR="00F15075">
        <w:t xml:space="preserve"> as we await guidance from NHSI. It is still the aim that an Emergency Laparotomy BPT </w:t>
      </w:r>
      <w:proofErr w:type="gramStart"/>
      <w:r w:rsidR="00F15075">
        <w:t>will be introduced</w:t>
      </w:r>
      <w:proofErr w:type="gramEnd"/>
      <w:r w:rsidR="00F15075">
        <w:t xml:space="preserve"> in 2019, but currently there has been no engagement with local sites.</w:t>
      </w:r>
      <w:r>
        <w:t xml:space="preserve"> </w:t>
      </w:r>
    </w:p>
    <w:p w:rsidR="00D71326" w:rsidRPr="00865EA9" w:rsidRDefault="00D71326" w:rsidP="006A662D">
      <w:pPr>
        <w:spacing w:after="0"/>
      </w:pPr>
      <w:r>
        <w:t xml:space="preserve">The pricing team has stated that the BPT is to </w:t>
      </w:r>
      <w:proofErr w:type="gramStart"/>
      <w:r>
        <w:t>be introduced</w:t>
      </w:r>
      <w:proofErr w:type="gramEnd"/>
      <w:r>
        <w:t xml:space="preserve"> in April 2019</w:t>
      </w:r>
      <w:r w:rsidR="009A7DD1">
        <w:t>;</w:t>
      </w:r>
      <w:r w:rsidR="00E371F9">
        <w:t xml:space="preserve"> however</w:t>
      </w:r>
      <w:r w:rsidR="009A7DD1">
        <w:t>,</w:t>
      </w:r>
      <w:r w:rsidR="00E371F9">
        <w:t xml:space="preserve"> we are unclear as to what this may look like</w:t>
      </w:r>
      <w:r w:rsidR="00D3116C">
        <w:t>.</w:t>
      </w:r>
    </w:p>
    <w:p w:rsidR="00865EA9" w:rsidRDefault="00865EA9" w:rsidP="006A662D">
      <w:pPr>
        <w:spacing w:after="0"/>
        <w:rPr>
          <w:i/>
        </w:rPr>
      </w:pPr>
    </w:p>
    <w:p w:rsidR="00B51096" w:rsidRDefault="00B51096" w:rsidP="006A662D">
      <w:pPr>
        <w:spacing w:after="0"/>
        <w:rPr>
          <w:i/>
        </w:rPr>
      </w:pPr>
      <w:r w:rsidRPr="00282DA7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NELA PB/ 0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9</w:t>
      </w:r>
      <w:r w:rsidRPr="00282DA7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8/ 7</w:t>
      </w:r>
      <w:r w:rsidRPr="00282DA7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Research Activity Updates </w:t>
      </w:r>
      <w:r w:rsidRPr="003E7D84">
        <w:rPr>
          <w:i/>
        </w:rPr>
        <w:t xml:space="preserve"> </w:t>
      </w:r>
    </w:p>
    <w:p w:rsidR="00F0364D" w:rsidRDefault="00F0364D" w:rsidP="00897B95">
      <w:pPr>
        <w:pStyle w:val="ListParagraph"/>
        <w:numPr>
          <w:ilvl w:val="0"/>
          <w:numId w:val="22"/>
        </w:numPr>
        <w:spacing w:after="0"/>
        <w:ind w:left="426"/>
      </w:pPr>
      <w:r w:rsidRPr="00624208">
        <w:rPr>
          <w:b/>
        </w:rPr>
        <w:t>Internal Secondary Analysis</w:t>
      </w:r>
      <w:r>
        <w:t xml:space="preserve"> </w:t>
      </w:r>
    </w:p>
    <w:p w:rsidR="00F15075" w:rsidRDefault="008A33CB" w:rsidP="004878B4">
      <w:pPr>
        <w:spacing w:after="0"/>
      </w:pPr>
      <w:r>
        <w:t>D</w:t>
      </w:r>
      <w:r w:rsidR="00F15075">
        <w:t xml:space="preserve">ave </w:t>
      </w:r>
      <w:r>
        <w:t>M</w:t>
      </w:r>
      <w:r w:rsidR="00F15075">
        <w:t>urray</w:t>
      </w:r>
      <w:r>
        <w:t xml:space="preserve"> gave a breakdown of how some </w:t>
      </w:r>
      <w:r w:rsidR="00282ED1">
        <w:t>F</w:t>
      </w:r>
      <w:r w:rsidR="00493217">
        <w:t xml:space="preserve">ellows and </w:t>
      </w:r>
      <w:r w:rsidR="00F15075">
        <w:t>other</w:t>
      </w:r>
      <w:r w:rsidR="009A7DD1">
        <w:t>s</w:t>
      </w:r>
      <w:r w:rsidR="00493217">
        <w:t xml:space="preserve"> </w:t>
      </w:r>
      <w:r>
        <w:t>are taking forward various</w:t>
      </w:r>
      <w:r w:rsidR="00282ED1">
        <w:t xml:space="preserve"> activities.  </w:t>
      </w:r>
      <w:r w:rsidR="00F15075">
        <w:t>These include work on; Social Deprivation, Distance to Hospital, Surgical Subspecialty, Obstetric, Log Term Outcomes.</w:t>
      </w:r>
    </w:p>
    <w:p w:rsidR="00F15075" w:rsidRDefault="00F15075" w:rsidP="004878B4">
      <w:pPr>
        <w:spacing w:after="0"/>
      </w:pPr>
    </w:p>
    <w:p w:rsidR="004878B4" w:rsidRDefault="008A33CB" w:rsidP="004878B4">
      <w:pPr>
        <w:spacing w:after="0"/>
      </w:pPr>
      <w:r>
        <w:t xml:space="preserve">He went on to say </w:t>
      </w:r>
      <w:r w:rsidR="00F51A7C">
        <w:t>that,</w:t>
      </w:r>
      <w:r>
        <w:t xml:space="preserve"> a</w:t>
      </w:r>
      <w:r w:rsidR="00282ED1">
        <w:t xml:space="preserve"> fellowship </w:t>
      </w:r>
      <w:r w:rsidR="00F6436F">
        <w:t xml:space="preserve">can last from </w:t>
      </w:r>
      <w:proofErr w:type="gramStart"/>
      <w:r w:rsidR="00F6436F">
        <w:t>1</w:t>
      </w:r>
      <w:proofErr w:type="gramEnd"/>
      <w:r w:rsidR="00F15075">
        <w:t xml:space="preserve"> to </w:t>
      </w:r>
      <w:r w:rsidR="00F6436F">
        <w:t>3</w:t>
      </w:r>
      <w:r w:rsidR="009A7DD1">
        <w:t xml:space="preserve"> </w:t>
      </w:r>
      <w:r w:rsidR="00F6436F">
        <w:t>years</w:t>
      </w:r>
      <w:r w:rsidR="00CE469C">
        <w:t xml:space="preserve">, </w:t>
      </w:r>
      <w:r w:rsidR="00F15075">
        <w:t xml:space="preserve">and </w:t>
      </w:r>
      <w:r w:rsidR="00CE469C">
        <w:t>can be funded by private hospitals, region</w:t>
      </w:r>
      <w:r w:rsidR="00F15075">
        <w:t>s</w:t>
      </w:r>
      <w:r w:rsidR="00CE469C">
        <w:t xml:space="preserve"> and Trusts</w:t>
      </w:r>
      <w:r w:rsidR="00F0364D">
        <w:t xml:space="preserve">. </w:t>
      </w:r>
    </w:p>
    <w:p w:rsidR="00493217" w:rsidRDefault="00F0364D" w:rsidP="00897B95">
      <w:pPr>
        <w:pStyle w:val="ListParagraph"/>
        <w:numPr>
          <w:ilvl w:val="0"/>
          <w:numId w:val="22"/>
        </w:numPr>
        <w:spacing w:after="0"/>
        <w:ind w:left="426"/>
      </w:pPr>
      <w:r w:rsidRPr="00624208">
        <w:rPr>
          <w:b/>
        </w:rPr>
        <w:t>External Collaborations</w:t>
      </w:r>
    </w:p>
    <w:p w:rsidR="00F15075" w:rsidRDefault="003C5D38" w:rsidP="004878B4">
      <w:pPr>
        <w:spacing w:after="0"/>
      </w:pPr>
      <w:r>
        <w:t xml:space="preserve">FLOELA has come to the end of their first year and looking to expand to Scotland in order to maintain </w:t>
      </w:r>
      <w:r w:rsidR="00336A86">
        <w:t>recruitment rates</w:t>
      </w:r>
      <w:r w:rsidR="009A7DD1">
        <w:t>.</w:t>
      </w:r>
      <w:r w:rsidR="00336A86">
        <w:t xml:space="preserve"> </w:t>
      </w:r>
      <w:r w:rsidR="00F15075">
        <w:t>There is also a list of collaborations</w:t>
      </w:r>
      <w:r w:rsidR="009A7DD1">
        <w:t>,</w:t>
      </w:r>
      <w:r w:rsidR="00F15075">
        <w:t xml:space="preserve"> some ongoing</w:t>
      </w:r>
      <w:r w:rsidR="009A7DD1">
        <w:t xml:space="preserve"> and</w:t>
      </w:r>
      <w:r w:rsidR="00F15075">
        <w:t xml:space="preserve"> some about to start up.</w:t>
      </w:r>
    </w:p>
    <w:p w:rsidR="00F0364D" w:rsidRDefault="00F15075" w:rsidP="004878B4">
      <w:pPr>
        <w:spacing w:after="0"/>
      </w:pPr>
      <w:proofErr w:type="spellStart"/>
      <w:r>
        <w:t>Tasneem</w:t>
      </w:r>
      <w:proofErr w:type="spellEnd"/>
      <w:r>
        <w:t xml:space="preserve"> </w:t>
      </w:r>
      <w:proofErr w:type="spellStart"/>
      <w:r w:rsidR="00447E32">
        <w:t>Hoosain</w:t>
      </w:r>
      <w:proofErr w:type="spellEnd"/>
      <w:r w:rsidR="00447E32">
        <w:t xml:space="preserve"> commented that the project team need to ensure that all these collaborations are in scope and </w:t>
      </w:r>
      <w:proofErr w:type="gramStart"/>
      <w:r w:rsidR="00447E32">
        <w:t>should be reported</w:t>
      </w:r>
      <w:proofErr w:type="gramEnd"/>
      <w:r w:rsidR="00447E32">
        <w:t xml:space="preserve"> to HQIP.</w:t>
      </w:r>
      <w:r w:rsidR="004263EC">
        <w:t xml:space="preserve"> </w:t>
      </w:r>
      <w:r w:rsidR="00336A86">
        <w:t xml:space="preserve"> </w:t>
      </w:r>
    </w:p>
    <w:p w:rsidR="00F0364D" w:rsidRDefault="00F0364D" w:rsidP="006000D2">
      <w:pPr>
        <w:spacing w:after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</w:pPr>
    </w:p>
    <w:p w:rsidR="009901D5" w:rsidRDefault="007A3D23" w:rsidP="006000D2">
      <w:pPr>
        <w:spacing w:after="0"/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NELA PB/ 0</w:t>
      </w:r>
      <w:r w:rsidR="00771362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="00B5109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/ 8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 </w:t>
      </w:r>
      <w:r w:rsidR="00B51096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Communications Strategy and Plan</w:t>
      </w:r>
      <w:r w:rsidR="00CD77A1">
        <w:tab/>
      </w:r>
      <w:r w:rsidR="00CD77A1">
        <w:tab/>
      </w:r>
      <w:r w:rsidR="00CD77A1">
        <w:tab/>
      </w:r>
      <w:r w:rsidR="00CD77A1">
        <w:tab/>
      </w:r>
    </w:p>
    <w:p w:rsidR="00986CFE" w:rsidRPr="00897B95" w:rsidRDefault="006B2ED8" w:rsidP="006000D2">
      <w:pPr>
        <w:spacing w:after="0"/>
        <w:rPr>
          <w:rFonts w:asciiTheme="minorHAnsi" w:eastAsia="Times New Roman" w:hAnsiTheme="minorHAnsi" w:cs="Helvetica"/>
          <w:color w:val="000000"/>
          <w:szCs w:val="20"/>
          <w:lang w:eastAsia="en-GB"/>
        </w:rPr>
      </w:pPr>
      <w:r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>S</w:t>
      </w:r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arah </w:t>
      </w:r>
      <w:r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>H</w:t>
      </w:r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>are</w:t>
      </w:r>
      <w:r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 explained that </w:t>
      </w:r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the RCoA </w:t>
      </w:r>
      <w:proofErr w:type="spellStart"/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>comms</w:t>
      </w:r>
      <w:proofErr w:type="spellEnd"/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 </w:t>
      </w:r>
      <w:r w:rsidR="009A7DD1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team </w:t>
      </w:r>
      <w:r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have a press release that is ready to go </w:t>
      </w:r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once the report </w:t>
      </w:r>
      <w:proofErr w:type="gramStart"/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>is published</w:t>
      </w:r>
      <w:proofErr w:type="gramEnd"/>
      <w:r w:rsidR="00447E32"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>.</w:t>
      </w:r>
    </w:p>
    <w:p w:rsidR="00447E32" w:rsidRPr="00897B95" w:rsidRDefault="00447E32" w:rsidP="006000D2">
      <w:pPr>
        <w:spacing w:after="0"/>
        <w:rPr>
          <w:rFonts w:asciiTheme="minorHAnsi" w:eastAsia="Times New Roman" w:hAnsiTheme="minorHAnsi" w:cs="Helvetica"/>
          <w:color w:val="000000"/>
          <w:szCs w:val="20"/>
          <w:lang w:eastAsia="en-GB"/>
        </w:rPr>
      </w:pPr>
      <w:r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There are also various meetings and conferences </w:t>
      </w:r>
      <w:proofErr w:type="gramStart"/>
      <w:r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>being attended</w:t>
      </w:r>
      <w:proofErr w:type="gramEnd"/>
      <w:r w:rsidRPr="00897B95">
        <w:rPr>
          <w:rFonts w:asciiTheme="minorHAnsi" w:eastAsia="Times New Roman" w:hAnsiTheme="minorHAnsi" w:cs="Helvetica"/>
          <w:color w:val="000000"/>
          <w:szCs w:val="20"/>
          <w:lang w:eastAsia="en-GB"/>
        </w:rPr>
        <w:t xml:space="preserve"> around the country to outline the results of the year 4 audit report.</w:t>
      </w:r>
    </w:p>
    <w:p w:rsidR="009901D5" w:rsidRPr="00291FEB" w:rsidRDefault="009901D5" w:rsidP="00291FEB">
      <w:pPr>
        <w:spacing w:after="0"/>
        <w:rPr>
          <w:sz w:val="10"/>
          <w:szCs w:val="10"/>
        </w:rPr>
      </w:pPr>
    </w:p>
    <w:p w:rsidR="00484531" w:rsidRDefault="007A3D23" w:rsidP="007A3D23">
      <w:pPr>
        <w:spacing w:after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NELA PB/ 0</w:t>
      </w:r>
      <w:r w:rsidR="00771362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/ 9 </w:t>
      </w:r>
      <w:r w:rsidR="009F1F37"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AOB</w:t>
      </w:r>
    </w:p>
    <w:p w:rsidR="00DC082B" w:rsidRPr="00484531" w:rsidRDefault="00447E32" w:rsidP="007A3D23">
      <w:pPr>
        <w:spacing w:after="0"/>
      </w:pPr>
      <w:r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n-GB"/>
        </w:rPr>
        <w:t>None</w:t>
      </w:r>
      <w:r w:rsidR="009F1F37" w:rsidRPr="00484531">
        <w:rPr>
          <w:rFonts w:ascii="Century Gothic" w:eastAsia="Times New Roman" w:hAnsi="Century Gothic" w:cs="Helvetica"/>
          <w:bCs/>
          <w:color w:val="000000"/>
          <w:sz w:val="20"/>
          <w:szCs w:val="20"/>
          <w:lang w:eastAsia="en-GB"/>
        </w:rPr>
        <w:tab/>
      </w:r>
      <w:r w:rsidR="007A3D23" w:rsidRPr="00484531">
        <w:tab/>
      </w:r>
      <w:r w:rsidR="007A3D23" w:rsidRPr="00484531">
        <w:tab/>
      </w:r>
      <w:r w:rsidR="007A3D23" w:rsidRPr="00484531">
        <w:tab/>
      </w:r>
      <w:r w:rsidR="007A3D23" w:rsidRPr="00484531">
        <w:tab/>
      </w:r>
      <w:r w:rsidR="007A3D23" w:rsidRPr="00484531">
        <w:tab/>
      </w:r>
      <w:r w:rsidR="007A3D23" w:rsidRPr="00484531">
        <w:tab/>
      </w:r>
      <w:r w:rsidR="007A3D23" w:rsidRPr="00484531">
        <w:tab/>
      </w:r>
      <w:r w:rsidR="007A3D23" w:rsidRPr="00484531">
        <w:tab/>
      </w:r>
    </w:p>
    <w:p w:rsidR="00291FEB" w:rsidRPr="009901D5" w:rsidRDefault="00291FEB" w:rsidP="009901D5">
      <w:pPr>
        <w:spacing w:after="0"/>
        <w:rPr>
          <w:sz w:val="10"/>
          <w:szCs w:val="10"/>
        </w:rPr>
      </w:pPr>
    </w:p>
    <w:p w:rsidR="007A3D23" w:rsidRPr="007A3D23" w:rsidRDefault="007A3D23" w:rsidP="007A3D23">
      <w:pPr>
        <w:spacing w:after="0"/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</w:pP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NELA PB/ 0</w:t>
      </w:r>
      <w:r w:rsidR="00771362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9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.1</w:t>
      </w:r>
      <w:r w:rsidR="005F6F4B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>8</w:t>
      </w:r>
      <w:r w:rsidRPr="007A3D23">
        <w:rPr>
          <w:rFonts w:ascii="Century Gothic" w:eastAsia="Times New Roman" w:hAnsi="Century Gothic" w:cs="Helvetica"/>
          <w:b/>
          <w:bCs/>
          <w:color w:val="000000"/>
          <w:sz w:val="20"/>
          <w:szCs w:val="20"/>
          <w:lang w:eastAsia="en-GB"/>
        </w:rPr>
        <w:t xml:space="preserve">/ 10  </w:t>
      </w:r>
    </w:p>
    <w:p w:rsidR="00912CCE" w:rsidRPr="003E7D84" w:rsidRDefault="00484531" w:rsidP="007A3D23">
      <w:pPr>
        <w:spacing w:after="0"/>
        <w:rPr>
          <w:i/>
        </w:rPr>
      </w:pPr>
      <w:r>
        <w:rPr>
          <w:i/>
        </w:rPr>
        <w:t xml:space="preserve">Next meeting will be in Feb but some dates </w:t>
      </w:r>
      <w:proofErr w:type="gramStart"/>
      <w:r>
        <w:rPr>
          <w:i/>
        </w:rPr>
        <w:t>will be sent out</w:t>
      </w:r>
      <w:proofErr w:type="gramEnd"/>
    </w:p>
    <w:p w:rsidR="00D93AD8" w:rsidRDefault="00D93AD8" w:rsidP="007A3D23">
      <w:pPr>
        <w:spacing w:after="0"/>
      </w:pPr>
      <w:r w:rsidRPr="00BC55E0">
        <w:rPr>
          <w:b/>
        </w:rPr>
        <w:t>Action:</w:t>
      </w:r>
      <w:r>
        <w:t xml:space="preserve"> </w:t>
      </w:r>
      <w:r w:rsidR="00484531">
        <w:t xml:space="preserve">A series of dates </w:t>
      </w:r>
      <w:proofErr w:type="gramStart"/>
      <w:r w:rsidR="00484531">
        <w:t>will be se</w:t>
      </w:r>
      <w:bookmarkStart w:id="0" w:name="_GoBack"/>
      <w:bookmarkEnd w:id="0"/>
      <w:r w:rsidR="00484531">
        <w:t>nt out</w:t>
      </w:r>
      <w:proofErr w:type="gramEnd"/>
      <w:r w:rsidR="00484531">
        <w:t xml:space="preserve"> </w:t>
      </w:r>
    </w:p>
    <w:tbl>
      <w:tblPr>
        <w:tblpPr w:leftFromText="180" w:rightFromText="180" w:vertAnchor="text" w:horzAnchor="page" w:tblpX="718" w:tblpY="355"/>
        <w:tblW w:w="10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142"/>
        <w:gridCol w:w="6164"/>
        <w:gridCol w:w="1599"/>
        <w:gridCol w:w="1554"/>
      </w:tblGrid>
      <w:tr w:rsidR="00E329C0" w:rsidRPr="003F5199">
        <w:trPr>
          <w:cantSplit/>
          <w:trHeight w:val="365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923C" w:themeFill="accent3" w:themeFillShade="BF"/>
            <w:vAlign w:val="center"/>
          </w:tcPr>
          <w:p w:rsidR="00E329C0" w:rsidRPr="001A44AF" w:rsidRDefault="00E329C0" w:rsidP="0032562C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A44A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Agenda Item</w:t>
            </w:r>
          </w:p>
        </w:tc>
        <w:tc>
          <w:tcPr>
            <w:tcW w:w="6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923C" w:themeFill="accent3" w:themeFillShade="BF"/>
            <w:vAlign w:val="center"/>
          </w:tcPr>
          <w:p w:rsidR="00E329C0" w:rsidRPr="001A44AF" w:rsidRDefault="00E329C0" w:rsidP="0032562C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A44A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923C" w:themeFill="accent3" w:themeFillShade="BF"/>
          </w:tcPr>
          <w:p w:rsidR="00E329C0" w:rsidRDefault="00E329C0" w:rsidP="0032562C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329C0" w:rsidRPr="001A44AF" w:rsidRDefault="00E329C0" w:rsidP="0032562C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A44A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Responsible</w:t>
            </w:r>
          </w:p>
        </w:tc>
        <w:tc>
          <w:tcPr>
            <w:tcW w:w="1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76923C" w:themeFill="accent3" w:themeFillShade="BF"/>
          </w:tcPr>
          <w:p w:rsidR="00E329C0" w:rsidRDefault="00E329C0" w:rsidP="0032562C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329C0" w:rsidRPr="001A44AF" w:rsidRDefault="00E329C0" w:rsidP="0032562C">
            <w:pPr>
              <w:pStyle w:val="NoSpacing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A44A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Due</w:t>
            </w:r>
          </w:p>
        </w:tc>
      </w:tr>
      <w:tr w:rsidR="00E329C0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329C0" w:rsidRPr="0017582E" w:rsidRDefault="0017582E" w:rsidP="0032562C">
            <w:pPr>
              <w:pStyle w:val="NoSpacing"/>
              <w:jc w:val="center"/>
            </w:pPr>
            <w:r w:rsidRPr="0017582E">
              <w:t>6</w:t>
            </w:r>
            <w:r w:rsidR="00C40A2E">
              <w:t>a</w:t>
            </w:r>
          </w:p>
        </w:tc>
        <w:tc>
          <w:tcPr>
            <w:tcW w:w="616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E329C0" w:rsidRPr="0017582E" w:rsidRDefault="00C40A2E" w:rsidP="009A7DD1">
            <w:pPr>
              <w:spacing w:after="0"/>
            </w:pPr>
            <w:r>
              <w:t xml:space="preserve">Provide an article to go into the AAGBI </w:t>
            </w:r>
            <w:r w:rsidR="009A7DD1">
              <w:t xml:space="preserve">Anaesthesia News 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E329C0" w:rsidRPr="0017582E" w:rsidRDefault="0017582E" w:rsidP="0032562C">
            <w:pPr>
              <w:jc w:val="center"/>
            </w:pPr>
            <w:r w:rsidRPr="0017582E">
              <w:t>DM/</w:t>
            </w:r>
            <w:r w:rsidR="00C40A2E">
              <w:t>SH/JL</w:t>
            </w:r>
          </w:p>
        </w:tc>
        <w:tc>
          <w:tcPr>
            <w:tcW w:w="155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E329C0" w:rsidRPr="0017582E" w:rsidRDefault="00E329C0" w:rsidP="00C40A2E">
            <w:pPr>
              <w:jc w:val="center"/>
            </w:pPr>
            <w:r w:rsidRPr="0017582E">
              <w:t xml:space="preserve"> </w:t>
            </w:r>
            <w:r w:rsidR="00C40A2E">
              <w:t>As soon as possible</w:t>
            </w:r>
          </w:p>
        </w:tc>
      </w:tr>
      <w:tr w:rsidR="00447E32" w:rsidRPr="00273AE1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47E32" w:rsidRPr="0017582E" w:rsidRDefault="00447E32" w:rsidP="0017582E">
            <w:pPr>
              <w:jc w:val="center"/>
            </w:pPr>
            <w:r>
              <w:t>7b</w:t>
            </w:r>
          </w:p>
        </w:tc>
        <w:tc>
          <w:tcPr>
            <w:tcW w:w="6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47E32" w:rsidRDefault="00447E32" w:rsidP="0017582E">
            <w:pPr>
              <w:jc w:val="center"/>
            </w:pPr>
            <w:r>
              <w:t xml:space="preserve">Ensure data access requests and </w:t>
            </w:r>
            <w:r w:rsidR="00897B95">
              <w:t>collaborations</w:t>
            </w:r>
            <w:r>
              <w:t xml:space="preserve"> are in scope and update HQIP </w:t>
            </w:r>
            <w:r w:rsidR="00897B95">
              <w:t>appropriately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E32" w:rsidRPr="0017582E" w:rsidRDefault="00447E32" w:rsidP="0017582E">
            <w:pPr>
              <w:jc w:val="center"/>
            </w:pPr>
            <w:r>
              <w:t>JL</w:t>
            </w:r>
          </w:p>
        </w:tc>
        <w:tc>
          <w:tcPr>
            <w:tcW w:w="1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47E32" w:rsidRPr="0017582E" w:rsidRDefault="00447E32" w:rsidP="0017582E">
            <w:pPr>
              <w:jc w:val="center"/>
            </w:pPr>
            <w:r>
              <w:t>As soon as possible</w:t>
            </w:r>
          </w:p>
        </w:tc>
      </w:tr>
      <w:tr w:rsidR="00E329C0" w:rsidRPr="00273AE1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29C0" w:rsidRPr="0017582E" w:rsidRDefault="0017582E" w:rsidP="003934CE">
            <w:pPr>
              <w:spacing w:after="0" w:line="240" w:lineRule="auto"/>
              <w:jc w:val="center"/>
            </w:pPr>
            <w:r w:rsidRPr="0017582E">
              <w:t>10</w:t>
            </w:r>
          </w:p>
        </w:tc>
        <w:tc>
          <w:tcPr>
            <w:tcW w:w="6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E329C0" w:rsidRPr="0017582E" w:rsidRDefault="00447E32" w:rsidP="003934CE">
            <w:pPr>
              <w:spacing w:after="0" w:line="240" w:lineRule="auto"/>
            </w:pPr>
            <w:r>
              <w:t>Send out dates for next Project Board meeting</w:t>
            </w:r>
          </w:p>
        </w:tc>
        <w:tc>
          <w:tcPr>
            <w:tcW w:w="1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9C0" w:rsidRPr="0017582E" w:rsidRDefault="00447E32" w:rsidP="003934CE">
            <w:pPr>
              <w:spacing w:after="0" w:line="240" w:lineRule="auto"/>
              <w:jc w:val="center"/>
            </w:pPr>
            <w:r>
              <w:t>T</w:t>
            </w:r>
            <w:r w:rsidR="0017582E" w:rsidRPr="0017582E">
              <w:t>C</w:t>
            </w:r>
          </w:p>
        </w:tc>
        <w:tc>
          <w:tcPr>
            <w:tcW w:w="1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329C0" w:rsidRPr="0017582E" w:rsidRDefault="00447E32" w:rsidP="003934CE">
            <w:pPr>
              <w:spacing w:after="0" w:line="240" w:lineRule="auto"/>
              <w:jc w:val="center"/>
            </w:pPr>
            <w:r>
              <w:t>As soon as possible</w:t>
            </w:r>
          </w:p>
        </w:tc>
      </w:tr>
    </w:tbl>
    <w:p w:rsidR="00291FEB" w:rsidRDefault="00291FEB" w:rsidP="007A3D23">
      <w:pPr>
        <w:spacing w:after="0"/>
      </w:pPr>
    </w:p>
    <w:sectPr w:rsidR="00291FEB" w:rsidSect="00FE56A5">
      <w:headerReference w:type="default" r:id="rId8"/>
      <w:pgSz w:w="11906" w:h="16838"/>
      <w:pgMar w:top="240" w:right="1440" w:bottom="567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D1" w:rsidRDefault="009A7DD1">
      <w:pPr>
        <w:spacing w:after="0" w:line="240" w:lineRule="auto"/>
      </w:pPr>
      <w:r>
        <w:separator/>
      </w:r>
    </w:p>
  </w:endnote>
  <w:endnote w:type="continuationSeparator" w:id="0">
    <w:p w:rsidR="009A7DD1" w:rsidRDefault="009A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D1" w:rsidRDefault="009A7DD1">
      <w:pPr>
        <w:spacing w:after="0" w:line="240" w:lineRule="auto"/>
      </w:pPr>
      <w:r>
        <w:separator/>
      </w:r>
    </w:p>
  </w:footnote>
  <w:footnote w:type="continuationSeparator" w:id="0">
    <w:p w:rsidR="009A7DD1" w:rsidRDefault="009A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DD1" w:rsidRPr="00536C82" w:rsidRDefault="009A7DD1" w:rsidP="00536C82">
    <w:pPr>
      <w:pStyle w:val="Heading1"/>
      <w:contextualSpacing/>
      <w:rPr>
        <w:rFonts w:ascii="Calibri" w:hAnsi="Calibri" w:cs="Calibri"/>
        <w:szCs w:val="24"/>
      </w:rPr>
    </w:pPr>
    <w:r>
      <w:rPr>
        <w:rFonts w:ascii="Calibri" w:hAnsi="Calibri" w:cs="Calibri"/>
        <w:noProof/>
        <w:szCs w:val="24"/>
      </w:rPr>
      <w:drawing>
        <wp:inline distT="0" distB="0" distL="0" distR="0">
          <wp:extent cx="952827" cy="723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960" cy="72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B66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8625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CEA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226A9068"/>
    <w:lvl w:ilvl="0" w:tplc="1CEE5A4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2A050B4"/>
    <w:multiLevelType w:val="hybridMultilevel"/>
    <w:tmpl w:val="02CA57A0"/>
    <w:lvl w:ilvl="0" w:tplc="42E019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3CA4"/>
    <w:multiLevelType w:val="hybridMultilevel"/>
    <w:tmpl w:val="4F3E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26B"/>
    <w:multiLevelType w:val="hybridMultilevel"/>
    <w:tmpl w:val="8AA2E908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4D57660"/>
    <w:multiLevelType w:val="hybridMultilevel"/>
    <w:tmpl w:val="DFD8F77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A02052F"/>
    <w:multiLevelType w:val="hybridMultilevel"/>
    <w:tmpl w:val="1846B1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DF6380"/>
    <w:multiLevelType w:val="hybridMultilevel"/>
    <w:tmpl w:val="52E8EA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C00"/>
    <w:multiLevelType w:val="hybridMultilevel"/>
    <w:tmpl w:val="8DBA832C"/>
    <w:lvl w:ilvl="0" w:tplc="D10EA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5F756E"/>
    <w:multiLevelType w:val="hybridMultilevel"/>
    <w:tmpl w:val="7E60A2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8222CD"/>
    <w:multiLevelType w:val="hybridMultilevel"/>
    <w:tmpl w:val="F124B9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6477F7"/>
    <w:multiLevelType w:val="hybridMultilevel"/>
    <w:tmpl w:val="FDDEC574"/>
    <w:lvl w:ilvl="0" w:tplc="B644D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5F2B"/>
    <w:multiLevelType w:val="hybridMultilevel"/>
    <w:tmpl w:val="99CC9CD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4435810"/>
    <w:multiLevelType w:val="hybridMultilevel"/>
    <w:tmpl w:val="410E2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132F74"/>
    <w:multiLevelType w:val="hybridMultilevel"/>
    <w:tmpl w:val="28B868FA"/>
    <w:lvl w:ilvl="0" w:tplc="1CEE5A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160" w:hanging="360"/>
      </w:pPr>
    </w:lvl>
    <w:lvl w:ilvl="2" w:tplc="0809001B" w:tentative="1">
      <w:start w:val="1"/>
      <w:numFmt w:val="lowerRoman"/>
      <w:lvlText w:val="%3."/>
      <w:lvlJc w:val="right"/>
      <w:pPr>
        <w:ind w:left="-1440" w:hanging="180"/>
      </w:pPr>
    </w:lvl>
    <w:lvl w:ilvl="3" w:tplc="0809000F" w:tentative="1">
      <w:start w:val="1"/>
      <w:numFmt w:val="decimal"/>
      <w:lvlText w:val="%4."/>
      <w:lvlJc w:val="left"/>
      <w:pPr>
        <w:ind w:left="-720" w:hanging="360"/>
      </w:pPr>
    </w:lvl>
    <w:lvl w:ilvl="4" w:tplc="08090019" w:tentative="1">
      <w:start w:val="1"/>
      <w:numFmt w:val="lowerLetter"/>
      <w:lvlText w:val="%5."/>
      <w:lvlJc w:val="left"/>
      <w:pPr>
        <w:ind w:left="0" w:hanging="360"/>
      </w:pPr>
    </w:lvl>
    <w:lvl w:ilvl="5" w:tplc="0809001B" w:tentative="1">
      <w:start w:val="1"/>
      <w:numFmt w:val="lowerRoman"/>
      <w:lvlText w:val="%6."/>
      <w:lvlJc w:val="right"/>
      <w:pPr>
        <w:ind w:left="720" w:hanging="180"/>
      </w:pPr>
    </w:lvl>
    <w:lvl w:ilvl="6" w:tplc="0809000F" w:tentative="1">
      <w:start w:val="1"/>
      <w:numFmt w:val="decimal"/>
      <w:lvlText w:val="%7."/>
      <w:lvlJc w:val="left"/>
      <w:pPr>
        <w:ind w:left="1440" w:hanging="360"/>
      </w:pPr>
    </w:lvl>
    <w:lvl w:ilvl="7" w:tplc="08090019" w:tentative="1">
      <w:start w:val="1"/>
      <w:numFmt w:val="lowerLetter"/>
      <w:lvlText w:val="%8."/>
      <w:lvlJc w:val="left"/>
      <w:pPr>
        <w:ind w:left="2160" w:hanging="360"/>
      </w:pPr>
    </w:lvl>
    <w:lvl w:ilvl="8" w:tplc="08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7" w15:restartNumberingAfterBreak="0">
    <w:nsid w:val="672C4BA3"/>
    <w:multiLevelType w:val="hybridMultilevel"/>
    <w:tmpl w:val="04E29618"/>
    <w:lvl w:ilvl="0" w:tplc="DF7424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6295D"/>
    <w:multiLevelType w:val="hybridMultilevel"/>
    <w:tmpl w:val="52B420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E3C9F"/>
    <w:multiLevelType w:val="hybridMultilevel"/>
    <w:tmpl w:val="B8423F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C31381A"/>
    <w:multiLevelType w:val="hybridMultilevel"/>
    <w:tmpl w:val="4116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93C49"/>
    <w:multiLevelType w:val="hybridMultilevel"/>
    <w:tmpl w:val="E850FD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4"/>
  </w:num>
  <w:num w:numId="8">
    <w:abstractNumId w:val="7"/>
  </w:num>
  <w:num w:numId="9">
    <w:abstractNumId w:val="19"/>
  </w:num>
  <w:num w:numId="10">
    <w:abstractNumId w:val="11"/>
  </w:num>
  <w:num w:numId="11">
    <w:abstractNumId w:val="12"/>
  </w:num>
  <w:num w:numId="12">
    <w:abstractNumId w:val="8"/>
  </w:num>
  <w:num w:numId="13">
    <w:abstractNumId w:val="21"/>
  </w:num>
  <w:num w:numId="14">
    <w:abstractNumId w:val="15"/>
  </w:num>
  <w:num w:numId="15">
    <w:abstractNumId w:val="5"/>
  </w:num>
  <w:num w:numId="16">
    <w:abstractNumId w:val="10"/>
  </w:num>
  <w:num w:numId="17">
    <w:abstractNumId w:val="17"/>
  </w:num>
  <w:num w:numId="18">
    <w:abstractNumId w:val="20"/>
  </w:num>
  <w:num w:numId="19">
    <w:abstractNumId w:val="4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CE"/>
    <w:rsid w:val="00007401"/>
    <w:rsid w:val="00016B2D"/>
    <w:rsid w:val="000223A2"/>
    <w:rsid w:val="00025FB0"/>
    <w:rsid w:val="00027AA7"/>
    <w:rsid w:val="000327C2"/>
    <w:rsid w:val="00045BC9"/>
    <w:rsid w:val="0005492A"/>
    <w:rsid w:val="00061041"/>
    <w:rsid w:val="00065DB5"/>
    <w:rsid w:val="00085511"/>
    <w:rsid w:val="000B5CCB"/>
    <w:rsid w:val="000D45D7"/>
    <w:rsid w:val="000E0643"/>
    <w:rsid w:val="000E2D8F"/>
    <w:rsid w:val="000E71CF"/>
    <w:rsid w:val="00102DC6"/>
    <w:rsid w:val="0011739E"/>
    <w:rsid w:val="00131813"/>
    <w:rsid w:val="001563E6"/>
    <w:rsid w:val="00167E31"/>
    <w:rsid w:val="0017582E"/>
    <w:rsid w:val="00183ADC"/>
    <w:rsid w:val="00183EF4"/>
    <w:rsid w:val="00184206"/>
    <w:rsid w:val="00184D11"/>
    <w:rsid w:val="00185E23"/>
    <w:rsid w:val="00192D5E"/>
    <w:rsid w:val="00192F38"/>
    <w:rsid w:val="001B0D1D"/>
    <w:rsid w:val="001B23D9"/>
    <w:rsid w:val="001E6097"/>
    <w:rsid w:val="001F1968"/>
    <w:rsid w:val="001F3F16"/>
    <w:rsid w:val="002019F9"/>
    <w:rsid w:val="002379D2"/>
    <w:rsid w:val="0024120C"/>
    <w:rsid w:val="00241545"/>
    <w:rsid w:val="00261943"/>
    <w:rsid w:val="002702B7"/>
    <w:rsid w:val="00281F05"/>
    <w:rsid w:val="00282DA6"/>
    <w:rsid w:val="00282DA7"/>
    <w:rsid w:val="00282ED1"/>
    <w:rsid w:val="00291FEB"/>
    <w:rsid w:val="0029756A"/>
    <w:rsid w:val="002A62A9"/>
    <w:rsid w:val="002A7C35"/>
    <w:rsid w:val="002C7681"/>
    <w:rsid w:val="002D06AA"/>
    <w:rsid w:val="002E0483"/>
    <w:rsid w:val="003130D7"/>
    <w:rsid w:val="0032562C"/>
    <w:rsid w:val="00336A86"/>
    <w:rsid w:val="00343116"/>
    <w:rsid w:val="00354466"/>
    <w:rsid w:val="003934CE"/>
    <w:rsid w:val="00396FAF"/>
    <w:rsid w:val="0039772E"/>
    <w:rsid w:val="003A492D"/>
    <w:rsid w:val="003C1FE1"/>
    <w:rsid w:val="003C5D38"/>
    <w:rsid w:val="003D418D"/>
    <w:rsid w:val="003D491D"/>
    <w:rsid w:val="003E7D84"/>
    <w:rsid w:val="0041091B"/>
    <w:rsid w:val="00411D74"/>
    <w:rsid w:val="00414833"/>
    <w:rsid w:val="004233F4"/>
    <w:rsid w:val="004263EC"/>
    <w:rsid w:val="00427886"/>
    <w:rsid w:val="004317BD"/>
    <w:rsid w:val="00431FE0"/>
    <w:rsid w:val="00447B14"/>
    <w:rsid w:val="00447E32"/>
    <w:rsid w:val="004660D9"/>
    <w:rsid w:val="00482A99"/>
    <w:rsid w:val="00484531"/>
    <w:rsid w:val="004878B4"/>
    <w:rsid w:val="00493217"/>
    <w:rsid w:val="004A0930"/>
    <w:rsid w:val="004A4880"/>
    <w:rsid w:val="004A6581"/>
    <w:rsid w:val="004B19EF"/>
    <w:rsid w:val="004D0A5B"/>
    <w:rsid w:val="004D3E24"/>
    <w:rsid w:val="005077BB"/>
    <w:rsid w:val="00507C51"/>
    <w:rsid w:val="00515FA0"/>
    <w:rsid w:val="0053155C"/>
    <w:rsid w:val="00536C82"/>
    <w:rsid w:val="00540113"/>
    <w:rsid w:val="00542F4E"/>
    <w:rsid w:val="00547C66"/>
    <w:rsid w:val="00556083"/>
    <w:rsid w:val="005571FA"/>
    <w:rsid w:val="00565203"/>
    <w:rsid w:val="00570A33"/>
    <w:rsid w:val="00593B90"/>
    <w:rsid w:val="00595999"/>
    <w:rsid w:val="00595DF0"/>
    <w:rsid w:val="00596D72"/>
    <w:rsid w:val="005A6362"/>
    <w:rsid w:val="005B024D"/>
    <w:rsid w:val="005B4902"/>
    <w:rsid w:val="005C00C4"/>
    <w:rsid w:val="005D12CE"/>
    <w:rsid w:val="005F6F4B"/>
    <w:rsid w:val="005F7A51"/>
    <w:rsid w:val="006000D2"/>
    <w:rsid w:val="00603511"/>
    <w:rsid w:val="00606EE9"/>
    <w:rsid w:val="00623A83"/>
    <w:rsid w:val="00624208"/>
    <w:rsid w:val="00640BFE"/>
    <w:rsid w:val="00650EBC"/>
    <w:rsid w:val="00657AF5"/>
    <w:rsid w:val="00663B37"/>
    <w:rsid w:val="00663F64"/>
    <w:rsid w:val="0067322E"/>
    <w:rsid w:val="00673572"/>
    <w:rsid w:val="00676BCF"/>
    <w:rsid w:val="00685077"/>
    <w:rsid w:val="006A1FA6"/>
    <w:rsid w:val="006A662D"/>
    <w:rsid w:val="006B2ED8"/>
    <w:rsid w:val="006E585D"/>
    <w:rsid w:val="0072672F"/>
    <w:rsid w:val="00741084"/>
    <w:rsid w:val="00751F00"/>
    <w:rsid w:val="0075319B"/>
    <w:rsid w:val="00771362"/>
    <w:rsid w:val="007811FE"/>
    <w:rsid w:val="00782AC7"/>
    <w:rsid w:val="007949E7"/>
    <w:rsid w:val="00795BA2"/>
    <w:rsid w:val="007A3D23"/>
    <w:rsid w:val="007B071C"/>
    <w:rsid w:val="007D78F4"/>
    <w:rsid w:val="007E28A3"/>
    <w:rsid w:val="007F1DEE"/>
    <w:rsid w:val="007F3010"/>
    <w:rsid w:val="007F3882"/>
    <w:rsid w:val="007F58D0"/>
    <w:rsid w:val="008131F3"/>
    <w:rsid w:val="00815D57"/>
    <w:rsid w:val="00824342"/>
    <w:rsid w:val="008448FD"/>
    <w:rsid w:val="00844D4C"/>
    <w:rsid w:val="00846B72"/>
    <w:rsid w:val="00846E1F"/>
    <w:rsid w:val="00852242"/>
    <w:rsid w:val="00852458"/>
    <w:rsid w:val="008601A0"/>
    <w:rsid w:val="00860823"/>
    <w:rsid w:val="00865EA9"/>
    <w:rsid w:val="00867116"/>
    <w:rsid w:val="00867FA4"/>
    <w:rsid w:val="00875CB6"/>
    <w:rsid w:val="0089038B"/>
    <w:rsid w:val="0089582D"/>
    <w:rsid w:val="0089796B"/>
    <w:rsid w:val="00897B95"/>
    <w:rsid w:val="008A1559"/>
    <w:rsid w:val="008A33CB"/>
    <w:rsid w:val="008A4423"/>
    <w:rsid w:val="008B01FA"/>
    <w:rsid w:val="008B4BCB"/>
    <w:rsid w:val="008C7960"/>
    <w:rsid w:val="008F344D"/>
    <w:rsid w:val="008F389E"/>
    <w:rsid w:val="009012E0"/>
    <w:rsid w:val="00912CCE"/>
    <w:rsid w:val="00914A8C"/>
    <w:rsid w:val="009159BC"/>
    <w:rsid w:val="0098247A"/>
    <w:rsid w:val="00983B19"/>
    <w:rsid w:val="00984169"/>
    <w:rsid w:val="00986CFE"/>
    <w:rsid w:val="009901D5"/>
    <w:rsid w:val="009901F2"/>
    <w:rsid w:val="00994E29"/>
    <w:rsid w:val="0099725F"/>
    <w:rsid w:val="009A54CC"/>
    <w:rsid w:val="009A7C77"/>
    <w:rsid w:val="009A7DD1"/>
    <w:rsid w:val="009B56AF"/>
    <w:rsid w:val="009C72D4"/>
    <w:rsid w:val="009F1F37"/>
    <w:rsid w:val="009F4AB9"/>
    <w:rsid w:val="009F5AF6"/>
    <w:rsid w:val="00A1291A"/>
    <w:rsid w:val="00A31EF9"/>
    <w:rsid w:val="00A42962"/>
    <w:rsid w:val="00A60A69"/>
    <w:rsid w:val="00A86FA5"/>
    <w:rsid w:val="00AA0412"/>
    <w:rsid w:val="00AB7F65"/>
    <w:rsid w:val="00AC41D3"/>
    <w:rsid w:val="00AD11EF"/>
    <w:rsid w:val="00B0754A"/>
    <w:rsid w:val="00B122AB"/>
    <w:rsid w:val="00B233F1"/>
    <w:rsid w:val="00B35F20"/>
    <w:rsid w:val="00B51096"/>
    <w:rsid w:val="00B80F1B"/>
    <w:rsid w:val="00B82FF7"/>
    <w:rsid w:val="00B905C7"/>
    <w:rsid w:val="00BA350D"/>
    <w:rsid w:val="00BB02A9"/>
    <w:rsid w:val="00BB2B72"/>
    <w:rsid w:val="00BB6DB8"/>
    <w:rsid w:val="00BC55E0"/>
    <w:rsid w:val="00C03407"/>
    <w:rsid w:val="00C03DCD"/>
    <w:rsid w:val="00C20C39"/>
    <w:rsid w:val="00C27EB0"/>
    <w:rsid w:val="00C40A2E"/>
    <w:rsid w:val="00C42447"/>
    <w:rsid w:val="00C534DB"/>
    <w:rsid w:val="00C75E9A"/>
    <w:rsid w:val="00C94D79"/>
    <w:rsid w:val="00CB7E3F"/>
    <w:rsid w:val="00CC243C"/>
    <w:rsid w:val="00CC298E"/>
    <w:rsid w:val="00CD77A1"/>
    <w:rsid w:val="00CE3748"/>
    <w:rsid w:val="00CE469C"/>
    <w:rsid w:val="00CF7FBD"/>
    <w:rsid w:val="00D20FB0"/>
    <w:rsid w:val="00D3116C"/>
    <w:rsid w:val="00D374E5"/>
    <w:rsid w:val="00D71326"/>
    <w:rsid w:val="00D86CF6"/>
    <w:rsid w:val="00D93AD8"/>
    <w:rsid w:val="00DA60B3"/>
    <w:rsid w:val="00DC082B"/>
    <w:rsid w:val="00DE0923"/>
    <w:rsid w:val="00DF4C73"/>
    <w:rsid w:val="00E12F91"/>
    <w:rsid w:val="00E329C0"/>
    <w:rsid w:val="00E371F9"/>
    <w:rsid w:val="00E453B1"/>
    <w:rsid w:val="00E5620B"/>
    <w:rsid w:val="00E65441"/>
    <w:rsid w:val="00E67000"/>
    <w:rsid w:val="00E77F1B"/>
    <w:rsid w:val="00EB31D2"/>
    <w:rsid w:val="00EB3305"/>
    <w:rsid w:val="00EB4037"/>
    <w:rsid w:val="00EC0A21"/>
    <w:rsid w:val="00EC23BE"/>
    <w:rsid w:val="00F00222"/>
    <w:rsid w:val="00F01637"/>
    <w:rsid w:val="00F0364D"/>
    <w:rsid w:val="00F14AB2"/>
    <w:rsid w:val="00F15075"/>
    <w:rsid w:val="00F26C5D"/>
    <w:rsid w:val="00F375D6"/>
    <w:rsid w:val="00F42403"/>
    <w:rsid w:val="00F4715D"/>
    <w:rsid w:val="00F5074D"/>
    <w:rsid w:val="00F5184F"/>
    <w:rsid w:val="00F51A7C"/>
    <w:rsid w:val="00F54FD4"/>
    <w:rsid w:val="00F56E83"/>
    <w:rsid w:val="00F6436F"/>
    <w:rsid w:val="00F71A13"/>
    <w:rsid w:val="00F71FEC"/>
    <w:rsid w:val="00F77508"/>
    <w:rsid w:val="00F8710B"/>
    <w:rsid w:val="00FC76A2"/>
    <w:rsid w:val="00FD272A"/>
    <w:rsid w:val="00FD43E2"/>
    <w:rsid w:val="00FD5193"/>
    <w:rsid w:val="00FE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7D05E69-5E49-45CB-A7C1-8312FAC8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6AF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6AF"/>
  </w:style>
  <w:style w:type="paragraph" w:styleId="Footer">
    <w:name w:val="footer"/>
    <w:basedOn w:val="Normal"/>
    <w:link w:val="FooterChar"/>
    <w:uiPriority w:val="99"/>
    <w:rsid w:val="009B5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AF"/>
  </w:style>
  <w:style w:type="paragraph" w:styleId="BalloonText">
    <w:name w:val="Balloon Text"/>
    <w:basedOn w:val="Normal"/>
    <w:link w:val="BalloonTextChar"/>
    <w:uiPriority w:val="99"/>
    <w:rsid w:val="009B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5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6AF"/>
    <w:pPr>
      <w:ind w:left="720"/>
    </w:pPr>
  </w:style>
  <w:style w:type="paragraph" w:styleId="PlainText">
    <w:name w:val="Plain Text"/>
    <w:basedOn w:val="Normal"/>
    <w:link w:val="PlainTextChar"/>
    <w:uiPriority w:val="99"/>
    <w:rsid w:val="009B56A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6AF"/>
    <w:rPr>
      <w:rFonts w:ascii="Consolas" w:eastAsiaTheme="minorHAnsi" w:hAnsi="Consolas" w:cstheme="minorBidi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B56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6A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rsid w:val="009B56A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9B56AF"/>
    <w:rPr>
      <w:rFonts w:ascii="Arial" w:eastAsia="Times New Roman" w:hAnsi="Arial"/>
      <w:b/>
      <w:sz w:val="24"/>
    </w:rPr>
  </w:style>
  <w:style w:type="character" w:styleId="CommentReference">
    <w:name w:val="annotation reference"/>
    <w:basedOn w:val="DefaultParagraphFont"/>
    <w:uiPriority w:val="99"/>
    <w:rsid w:val="009B5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5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6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B5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56AF"/>
    <w:rPr>
      <w:b/>
      <w:bCs/>
      <w:lang w:eastAsia="en-US"/>
    </w:rPr>
  </w:style>
  <w:style w:type="paragraph" w:styleId="NoSpacing">
    <w:name w:val="No Spacing"/>
    <w:uiPriority w:val="1"/>
    <w:qFormat/>
    <w:rsid w:val="00E329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8F5A-BB54-42A5-90B7-4E9BDF9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BEA3B10C</Template>
  <TotalTime>2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mdickson</dc:creator>
  <cp:lastModifiedBy>Jose Lourtie</cp:lastModifiedBy>
  <cp:revision>3</cp:revision>
  <cp:lastPrinted>2013-01-22T16:46:00Z</cp:lastPrinted>
  <dcterms:created xsi:type="dcterms:W3CDTF">2018-12-06T11:24:00Z</dcterms:created>
  <dcterms:modified xsi:type="dcterms:W3CDTF">2019-02-20T07:58:00Z</dcterms:modified>
</cp:coreProperties>
</file>